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55D0C" w14:paraId="6A36C9F5" w14:textId="77777777">
        <w:tblPrEx>
          <w:tblCellMar>
            <w:top w:w="0" w:type="dxa"/>
            <w:bottom w:w="0" w:type="dxa"/>
          </w:tblCellMar>
        </w:tblPrEx>
        <w:trPr>
          <w:tblCellSpacing w:w="60" w:type="dxa"/>
        </w:trPr>
        <w:tc>
          <w:tcPr>
            <w:tcW w:w="1200" w:type="pct"/>
            <w:shd w:val="clear" w:color="auto" w:fill="E7F0F9"/>
          </w:tcPr>
          <w:p w14:paraId="137B12DF" w14:textId="77777777" w:rsidR="00355D0C" w:rsidRDefault="00000000">
            <w:pPr>
              <w:spacing w:after="0" w:line="240" w:lineRule="auto"/>
            </w:pPr>
            <w:r>
              <w:rPr>
                <w:b/>
              </w:rPr>
              <w:t>RKP broj</w:t>
            </w:r>
          </w:p>
        </w:tc>
        <w:tc>
          <w:tcPr>
            <w:tcW w:w="0" w:type="auto"/>
            <w:shd w:val="clear" w:color="auto" w:fill="E7F0F9"/>
          </w:tcPr>
          <w:p w14:paraId="738FAEEE" w14:textId="77777777" w:rsidR="00355D0C" w:rsidRDefault="00000000">
            <w:pPr>
              <w:spacing w:after="0" w:line="240" w:lineRule="auto"/>
            </w:pPr>
            <w:r>
              <w:t>49624</w:t>
            </w:r>
          </w:p>
        </w:tc>
      </w:tr>
      <w:tr w:rsidR="00355D0C" w14:paraId="058F817C" w14:textId="77777777">
        <w:tblPrEx>
          <w:tblCellMar>
            <w:top w:w="0" w:type="dxa"/>
            <w:bottom w:w="0" w:type="dxa"/>
          </w:tblCellMar>
        </w:tblPrEx>
        <w:trPr>
          <w:tblCellSpacing w:w="60" w:type="dxa"/>
        </w:trPr>
        <w:tc>
          <w:tcPr>
            <w:tcW w:w="1200" w:type="pct"/>
            <w:shd w:val="clear" w:color="auto" w:fill="E7F0F9"/>
          </w:tcPr>
          <w:p w14:paraId="52EEB29D" w14:textId="77777777" w:rsidR="00355D0C" w:rsidRDefault="00000000">
            <w:pPr>
              <w:spacing w:after="0" w:line="240" w:lineRule="auto"/>
            </w:pPr>
            <w:r>
              <w:rPr>
                <w:b/>
              </w:rPr>
              <w:t>Naziv obveznika</w:t>
            </w:r>
          </w:p>
        </w:tc>
        <w:tc>
          <w:tcPr>
            <w:tcW w:w="0" w:type="auto"/>
            <w:shd w:val="clear" w:color="auto" w:fill="E7F0F9"/>
          </w:tcPr>
          <w:p w14:paraId="2A471F7B" w14:textId="77777777" w:rsidR="00355D0C" w:rsidRDefault="00000000">
            <w:pPr>
              <w:spacing w:after="0" w:line="240" w:lineRule="auto"/>
            </w:pPr>
            <w:r>
              <w:t>AGENCIJA ZA DRUŠTVENO POTICANU STANOGRADNJU GRADA KOPRIVNICE</w:t>
            </w:r>
          </w:p>
        </w:tc>
      </w:tr>
      <w:tr w:rsidR="00355D0C" w14:paraId="247BAA20" w14:textId="77777777">
        <w:tblPrEx>
          <w:tblCellMar>
            <w:top w:w="0" w:type="dxa"/>
            <w:bottom w:w="0" w:type="dxa"/>
          </w:tblCellMar>
        </w:tblPrEx>
        <w:trPr>
          <w:tblCellSpacing w:w="60" w:type="dxa"/>
        </w:trPr>
        <w:tc>
          <w:tcPr>
            <w:tcW w:w="1200" w:type="pct"/>
            <w:shd w:val="clear" w:color="auto" w:fill="E7F0F9"/>
          </w:tcPr>
          <w:p w14:paraId="6D6736AE" w14:textId="77777777" w:rsidR="00355D0C" w:rsidRDefault="00000000">
            <w:pPr>
              <w:spacing w:after="0" w:line="240" w:lineRule="auto"/>
            </w:pPr>
            <w:r>
              <w:rPr>
                <w:b/>
              </w:rPr>
              <w:t>Razina</w:t>
            </w:r>
          </w:p>
        </w:tc>
        <w:tc>
          <w:tcPr>
            <w:tcW w:w="0" w:type="auto"/>
            <w:shd w:val="clear" w:color="auto" w:fill="E7F0F9"/>
          </w:tcPr>
          <w:p w14:paraId="2BA999BD" w14:textId="77777777" w:rsidR="00355D0C" w:rsidRDefault="00000000">
            <w:pPr>
              <w:spacing w:after="0" w:line="240" w:lineRule="auto"/>
            </w:pPr>
            <w:r>
              <w:t>21</w:t>
            </w:r>
          </w:p>
        </w:tc>
      </w:tr>
    </w:tbl>
    <w:p w14:paraId="373A4586" w14:textId="77777777" w:rsidR="00355D0C" w:rsidRDefault="00000000">
      <w:r>
        <w:br/>
      </w:r>
    </w:p>
    <w:p w14:paraId="5189EC7C" w14:textId="77777777" w:rsidR="00355D0C" w:rsidRDefault="00000000">
      <w:pPr>
        <w:spacing w:line="240" w:lineRule="auto"/>
        <w:jc w:val="center"/>
      </w:pPr>
      <w:r>
        <w:rPr>
          <w:b/>
          <w:sz w:val="28"/>
        </w:rPr>
        <w:t>BILJEŠKE UZ FINANCIJSKE IZVJEŠTAJE</w:t>
      </w:r>
    </w:p>
    <w:p w14:paraId="334243D7" w14:textId="77777777" w:rsidR="00355D0C" w:rsidRDefault="00000000">
      <w:pPr>
        <w:spacing w:line="240" w:lineRule="auto"/>
        <w:jc w:val="center"/>
      </w:pPr>
      <w:r>
        <w:rPr>
          <w:b/>
          <w:sz w:val="28"/>
        </w:rPr>
        <w:t>ZA RAZDOBLJE</w:t>
      </w:r>
    </w:p>
    <w:p w14:paraId="10314D13" w14:textId="77777777" w:rsidR="00355D0C" w:rsidRDefault="00000000">
      <w:pPr>
        <w:spacing w:line="240" w:lineRule="auto"/>
        <w:jc w:val="center"/>
      </w:pPr>
      <w:r>
        <w:rPr>
          <w:b/>
          <w:sz w:val="28"/>
        </w:rPr>
        <w:t>I - XII 2025.</w:t>
      </w:r>
    </w:p>
    <w:p w14:paraId="4E668DB2" w14:textId="77777777" w:rsidR="00355D0C" w:rsidRDefault="00355D0C"/>
    <w:p w14:paraId="4F56BD8E" w14:textId="77777777" w:rsidR="00355D0C" w:rsidRDefault="00000000">
      <w:pPr>
        <w:keepNext/>
        <w:spacing w:line="240" w:lineRule="auto"/>
        <w:jc w:val="center"/>
      </w:pPr>
      <w:r>
        <w:rPr>
          <w:b/>
          <w:sz w:val="28"/>
        </w:rPr>
        <w:t>Izvještaj o prihodima i rashodima, primicima i izdacima</w:t>
      </w:r>
    </w:p>
    <w:p w14:paraId="4DB2CCE6" w14:textId="77777777" w:rsidR="00355D0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3E97B5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6B6500"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0E9BD9"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7DAE6B"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92FDE"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CE07D4"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0F21FC" w14:textId="77777777" w:rsidR="00355D0C" w:rsidRDefault="00000000">
            <w:pPr>
              <w:keepNext/>
              <w:keepLines/>
              <w:spacing w:after="0" w:line="240" w:lineRule="auto"/>
              <w:jc w:val="center"/>
            </w:pPr>
            <w:r>
              <w:rPr>
                <w:b/>
                <w:sz w:val="18"/>
              </w:rPr>
              <w:t>Indeks (%)</w:t>
            </w:r>
          </w:p>
        </w:tc>
      </w:tr>
      <w:tr w:rsidR="00355D0C" w14:paraId="1D053E69" w14:textId="77777777">
        <w:tblPrEx>
          <w:tblCellMar>
            <w:top w:w="0" w:type="dxa"/>
            <w:bottom w:w="0" w:type="dxa"/>
          </w:tblCellMar>
        </w:tblPrEx>
        <w:trPr>
          <w:cantSplit/>
          <w:trHeight w:val="560"/>
        </w:trPr>
        <w:tc>
          <w:tcPr>
            <w:tcW w:w="700" w:type="dxa"/>
            <w:tcMar>
              <w:top w:w="0" w:type="dxa"/>
              <w:bottom w:w="0" w:type="dxa"/>
            </w:tcMar>
            <w:vAlign w:val="center"/>
          </w:tcPr>
          <w:p w14:paraId="5D26AA60" w14:textId="77777777" w:rsidR="00355D0C" w:rsidRDefault="00000000">
            <w:pPr>
              <w:keepNext/>
              <w:keepLines/>
              <w:spacing w:after="0" w:line="240" w:lineRule="auto"/>
            </w:pPr>
            <w:r>
              <w:rPr>
                <w:sz w:val="18"/>
              </w:rPr>
              <w:t>6</w:t>
            </w:r>
          </w:p>
        </w:tc>
        <w:tc>
          <w:tcPr>
            <w:tcW w:w="3180" w:type="dxa"/>
            <w:tcMar>
              <w:top w:w="0" w:type="dxa"/>
              <w:bottom w:w="0" w:type="dxa"/>
            </w:tcMar>
            <w:vAlign w:val="center"/>
          </w:tcPr>
          <w:p w14:paraId="2F631F76" w14:textId="77777777" w:rsidR="00355D0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8BAABA4" w14:textId="77777777" w:rsidR="00355D0C" w:rsidRDefault="00000000">
            <w:pPr>
              <w:keepNext/>
              <w:keepLines/>
              <w:spacing w:after="0" w:line="240" w:lineRule="auto"/>
            </w:pPr>
            <w:r>
              <w:rPr>
                <w:sz w:val="18"/>
              </w:rPr>
              <w:t>6</w:t>
            </w:r>
          </w:p>
        </w:tc>
        <w:tc>
          <w:tcPr>
            <w:tcW w:w="1860" w:type="dxa"/>
            <w:tcMar>
              <w:top w:w="0" w:type="dxa"/>
              <w:bottom w:w="0" w:type="dxa"/>
            </w:tcMar>
            <w:vAlign w:val="center"/>
          </w:tcPr>
          <w:p w14:paraId="7C5767C6" w14:textId="77777777" w:rsidR="00355D0C" w:rsidRDefault="00000000">
            <w:pPr>
              <w:keepNext/>
              <w:keepLines/>
              <w:spacing w:after="0" w:line="240" w:lineRule="auto"/>
              <w:jc w:val="right"/>
            </w:pPr>
            <w:r>
              <w:rPr>
                <w:sz w:val="18"/>
              </w:rPr>
              <w:t>48.724,13</w:t>
            </w:r>
          </w:p>
        </w:tc>
        <w:tc>
          <w:tcPr>
            <w:tcW w:w="1860" w:type="dxa"/>
            <w:tcMar>
              <w:top w:w="0" w:type="dxa"/>
              <w:bottom w:w="0" w:type="dxa"/>
            </w:tcMar>
            <w:vAlign w:val="center"/>
          </w:tcPr>
          <w:p w14:paraId="403515C9" w14:textId="77777777" w:rsidR="00355D0C" w:rsidRDefault="00000000">
            <w:pPr>
              <w:keepNext/>
              <w:keepLines/>
              <w:spacing w:after="0" w:line="240" w:lineRule="auto"/>
              <w:jc w:val="right"/>
            </w:pPr>
            <w:r>
              <w:rPr>
                <w:sz w:val="18"/>
              </w:rPr>
              <w:t>34.784,16</w:t>
            </w:r>
          </w:p>
        </w:tc>
        <w:tc>
          <w:tcPr>
            <w:tcW w:w="700" w:type="dxa"/>
            <w:tcMar>
              <w:top w:w="0" w:type="dxa"/>
              <w:bottom w:w="0" w:type="dxa"/>
            </w:tcMar>
            <w:vAlign w:val="center"/>
          </w:tcPr>
          <w:p w14:paraId="4F91876D" w14:textId="77777777" w:rsidR="00355D0C" w:rsidRDefault="00000000">
            <w:pPr>
              <w:keepNext/>
              <w:keepLines/>
              <w:spacing w:after="0" w:line="240" w:lineRule="auto"/>
              <w:jc w:val="right"/>
            </w:pPr>
            <w:r>
              <w:rPr>
                <w:sz w:val="18"/>
              </w:rPr>
              <w:t>71,4</w:t>
            </w:r>
          </w:p>
        </w:tc>
      </w:tr>
      <w:tr w:rsidR="00355D0C" w14:paraId="17E70442" w14:textId="77777777">
        <w:tblPrEx>
          <w:tblCellMar>
            <w:top w:w="0" w:type="dxa"/>
            <w:bottom w:w="0" w:type="dxa"/>
          </w:tblCellMar>
        </w:tblPrEx>
        <w:trPr>
          <w:cantSplit/>
          <w:trHeight w:val="560"/>
        </w:trPr>
        <w:tc>
          <w:tcPr>
            <w:tcW w:w="700" w:type="dxa"/>
            <w:tcMar>
              <w:top w:w="0" w:type="dxa"/>
              <w:bottom w:w="0" w:type="dxa"/>
            </w:tcMar>
            <w:vAlign w:val="center"/>
          </w:tcPr>
          <w:p w14:paraId="6D380581" w14:textId="77777777" w:rsidR="00355D0C" w:rsidRDefault="00000000">
            <w:pPr>
              <w:keepNext/>
              <w:keepLines/>
              <w:spacing w:after="0" w:line="240" w:lineRule="auto"/>
            </w:pPr>
            <w:r>
              <w:rPr>
                <w:sz w:val="18"/>
              </w:rPr>
              <w:t>3</w:t>
            </w:r>
          </w:p>
        </w:tc>
        <w:tc>
          <w:tcPr>
            <w:tcW w:w="3180" w:type="dxa"/>
            <w:tcMar>
              <w:top w:w="0" w:type="dxa"/>
              <w:bottom w:w="0" w:type="dxa"/>
            </w:tcMar>
            <w:vAlign w:val="center"/>
          </w:tcPr>
          <w:p w14:paraId="19380B05" w14:textId="77777777" w:rsidR="00355D0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60B7AB0" w14:textId="77777777" w:rsidR="00355D0C" w:rsidRDefault="00000000">
            <w:pPr>
              <w:keepNext/>
              <w:keepLines/>
              <w:spacing w:after="0" w:line="240" w:lineRule="auto"/>
            </w:pPr>
            <w:r>
              <w:rPr>
                <w:sz w:val="18"/>
              </w:rPr>
              <w:t>3</w:t>
            </w:r>
          </w:p>
        </w:tc>
        <w:tc>
          <w:tcPr>
            <w:tcW w:w="1860" w:type="dxa"/>
            <w:tcMar>
              <w:top w:w="0" w:type="dxa"/>
              <w:bottom w:w="0" w:type="dxa"/>
            </w:tcMar>
            <w:vAlign w:val="center"/>
          </w:tcPr>
          <w:p w14:paraId="516E6A6F" w14:textId="77777777" w:rsidR="00355D0C" w:rsidRDefault="00000000">
            <w:pPr>
              <w:keepNext/>
              <w:keepLines/>
              <w:spacing w:after="0" w:line="240" w:lineRule="auto"/>
              <w:jc w:val="right"/>
            </w:pPr>
            <w:r>
              <w:rPr>
                <w:sz w:val="18"/>
              </w:rPr>
              <w:t>72.138,99</w:t>
            </w:r>
          </w:p>
        </w:tc>
        <w:tc>
          <w:tcPr>
            <w:tcW w:w="1860" w:type="dxa"/>
            <w:tcMar>
              <w:top w:w="0" w:type="dxa"/>
              <w:bottom w:w="0" w:type="dxa"/>
            </w:tcMar>
            <w:vAlign w:val="center"/>
          </w:tcPr>
          <w:p w14:paraId="13F5FC85" w14:textId="77777777" w:rsidR="00355D0C" w:rsidRDefault="00000000">
            <w:pPr>
              <w:keepNext/>
              <w:keepLines/>
              <w:spacing w:after="0" w:line="240" w:lineRule="auto"/>
              <w:jc w:val="right"/>
            </w:pPr>
            <w:r>
              <w:rPr>
                <w:sz w:val="18"/>
              </w:rPr>
              <w:t>86.137,16</w:t>
            </w:r>
          </w:p>
        </w:tc>
        <w:tc>
          <w:tcPr>
            <w:tcW w:w="700" w:type="dxa"/>
            <w:tcMar>
              <w:top w:w="0" w:type="dxa"/>
              <w:bottom w:w="0" w:type="dxa"/>
            </w:tcMar>
            <w:vAlign w:val="center"/>
          </w:tcPr>
          <w:p w14:paraId="5EE525C6" w14:textId="77777777" w:rsidR="00355D0C" w:rsidRDefault="00000000">
            <w:pPr>
              <w:keepNext/>
              <w:keepLines/>
              <w:spacing w:after="0" w:line="240" w:lineRule="auto"/>
              <w:jc w:val="right"/>
            </w:pPr>
            <w:r>
              <w:rPr>
                <w:sz w:val="18"/>
              </w:rPr>
              <w:t>119,4</w:t>
            </w:r>
          </w:p>
        </w:tc>
      </w:tr>
      <w:tr w:rsidR="00355D0C" w14:paraId="4C948C77" w14:textId="77777777">
        <w:tblPrEx>
          <w:tblCellMar>
            <w:top w:w="0" w:type="dxa"/>
            <w:bottom w:w="0" w:type="dxa"/>
          </w:tblCellMar>
        </w:tblPrEx>
        <w:trPr>
          <w:cantSplit/>
          <w:trHeight w:val="560"/>
        </w:trPr>
        <w:tc>
          <w:tcPr>
            <w:tcW w:w="700" w:type="dxa"/>
            <w:tcMar>
              <w:top w:w="0" w:type="dxa"/>
              <w:bottom w:w="0" w:type="dxa"/>
            </w:tcMar>
            <w:vAlign w:val="center"/>
          </w:tcPr>
          <w:p w14:paraId="149B1DF6" w14:textId="77777777" w:rsidR="00355D0C" w:rsidRDefault="00355D0C">
            <w:pPr>
              <w:keepNext/>
              <w:keepLines/>
              <w:spacing w:after="0" w:line="240" w:lineRule="auto"/>
            </w:pPr>
          </w:p>
        </w:tc>
        <w:tc>
          <w:tcPr>
            <w:tcW w:w="3180" w:type="dxa"/>
            <w:tcMar>
              <w:top w:w="0" w:type="dxa"/>
              <w:bottom w:w="0" w:type="dxa"/>
            </w:tcMar>
            <w:vAlign w:val="center"/>
          </w:tcPr>
          <w:p w14:paraId="1DD932DF" w14:textId="77777777" w:rsidR="00355D0C"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308159F2" w14:textId="77777777" w:rsidR="00355D0C" w:rsidRDefault="00000000">
            <w:pPr>
              <w:keepNext/>
              <w:keepLines/>
              <w:spacing w:after="0" w:line="240" w:lineRule="auto"/>
            </w:pPr>
            <w:r>
              <w:rPr>
                <w:b/>
                <w:sz w:val="18"/>
              </w:rPr>
              <w:t>Y001</w:t>
            </w:r>
          </w:p>
        </w:tc>
        <w:tc>
          <w:tcPr>
            <w:tcW w:w="1860" w:type="dxa"/>
            <w:tcMar>
              <w:top w:w="0" w:type="dxa"/>
              <w:bottom w:w="0" w:type="dxa"/>
            </w:tcMar>
            <w:vAlign w:val="center"/>
          </w:tcPr>
          <w:p w14:paraId="6D6476F2" w14:textId="77777777" w:rsidR="00355D0C" w:rsidRDefault="00000000">
            <w:pPr>
              <w:keepNext/>
              <w:keepLines/>
              <w:spacing w:after="0" w:line="240" w:lineRule="auto"/>
              <w:jc w:val="right"/>
            </w:pPr>
            <w:r>
              <w:rPr>
                <w:b/>
                <w:sz w:val="18"/>
              </w:rPr>
              <w:t>23.414,86</w:t>
            </w:r>
          </w:p>
        </w:tc>
        <w:tc>
          <w:tcPr>
            <w:tcW w:w="1860" w:type="dxa"/>
            <w:tcMar>
              <w:top w:w="0" w:type="dxa"/>
              <w:bottom w:w="0" w:type="dxa"/>
            </w:tcMar>
            <w:vAlign w:val="center"/>
          </w:tcPr>
          <w:p w14:paraId="4234208B" w14:textId="77777777" w:rsidR="00355D0C" w:rsidRDefault="00000000">
            <w:pPr>
              <w:keepNext/>
              <w:keepLines/>
              <w:spacing w:after="0" w:line="240" w:lineRule="auto"/>
              <w:jc w:val="right"/>
            </w:pPr>
            <w:r>
              <w:rPr>
                <w:b/>
                <w:sz w:val="18"/>
              </w:rPr>
              <w:t>51.353,00</w:t>
            </w:r>
          </w:p>
        </w:tc>
        <w:tc>
          <w:tcPr>
            <w:tcW w:w="700" w:type="dxa"/>
            <w:tcMar>
              <w:top w:w="0" w:type="dxa"/>
              <w:bottom w:w="0" w:type="dxa"/>
            </w:tcMar>
            <w:vAlign w:val="center"/>
          </w:tcPr>
          <w:p w14:paraId="64D14D6F" w14:textId="77777777" w:rsidR="00355D0C" w:rsidRDefault="00000000">
            <w:pPr>
              <w:keepNext/>
              <w:keepLines/>
              <w:spacing w:after="0" w:line="240" w:lineRule="auto"/>
              <w:jc w:val="right"/>
            </w:pPr>
            <w:r>
              <w:rPr>
                <w:b/>
                <w:sz w:val="18"/>
              </w:rPr>
              <w:t>219,3</w:t>
            </w:r>
          </w:p>
        </w:tc>
      </w:tr>
      <w:tr w:rsidR="00355D0C" w14:paraId="7150D2EF" w14:textId="77777777">
        <w:tblPrEx>
          <w:tblCellMar>
            <w:top w:w="0" w:type="dxa"/>
            <w:bottom w:w="0" w:type="dxa"/>
          </w:tblCellMar>
        </w:tblPrEx>
        <w:trPr>
          <w:cantSplit/>
          <w:trHeight w:val="560"/>
        </w:trPr>
        <w:tc>
          <w:tcPr>
            <w:tcW w:w="700" w:type="dxa"/>
            <w:tcMar>
              <w:top w:w="0" w:type="dxa"/>
              <w:bottom w:w="0" w:type="dxa"/>
            </w:tcMar>
            <w:vAlign w:val="center"/>
          </w:tcPr>
          <w:p w14:paraId="79DD95B5" w14:textId="77777777" w:rsidR="00355D0C" w:rsidRDefault="00000000">
            <w:pPr>
              <w:keepNext/>
              <w:keepLines/>
              <w:spacing w:after="0" w:line="240" w:lineRule="auto"/>
            </w:pPr>
            <w:r>
              <w:rPr>
                <w:sz w:val="18"/>
              </w:rPr>
              <w:t>7</w:t>
            </w:r>
          </w:p>
        </w:tc>
        <w:tc>
          <w:tcPr>
            <w:tcW w:w="3180" w:type="dxa"/>
            <w:tcMar>
              <w:top w:w="0" w:type="dxa"/>
              <w:bottom w:w="0" w:type="dxa"/>
            </w:tcMar>
            <w:vAlign w:val="center"/>
          </w:tcPr>
          <w:p w14:paraId="44C530D9" w14:textId="77777777" w:rsidR="00355D0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BEFC47B" w14:textId="77777777" w:rsidR="00355D0C" w:rsidRDefault="00000000">
            <w:pPr>
              <w:keepNext/>
              <w:keepLines/>
              <w:spacing w:after="0" w:line="240" w:lineRule="auto"/>
            </w:pPr>
            <w:r>
              <w:rPr>
                <w:sz w:val="18"/>
              </w:rPr>
              <w:t>7</w:t>
            </w:r>
          </w:p>
        </w:tc>
        <w:tc>
          <w:tcPr>
            <w:tcW w:w="1860" w:type="dxa"/>
            <w:tcMar>
              <w:top w:w="0" w:type="dxa"/>
              <w:bottom w:w="0" w:type="dxa"/>
            </w:tcMar>
            <w:vAlign w:val="center"/>
          </w:tcPr>
          <w:p w14:paraId="18517FBF" w14:textId="77777777" w:rsidR="00355D0C" w:rsidRDefault="00000000">
            <w:pPr>
              <w:keepNext/>
              <w:keepLines/>
              <w:spacing w:after="0" w:line="240" w:lineRule="auto"/>
              <w:jc w:val="right"/>
            </w:pPr>
            <w:r>
              <w:rPr>
                <w:sz w:val="18"/>
              </w:rPr>
              <w:t>0,00</w:t>
            </w:r>
          </w:p>
        </w:tc>
        <w:tc>
          <w:tcPr>
            <w:tcW w:w="1860" w:type="dxa"/>
            <w:tcMar>
              <w:top w:w="0" w:type="dxa"/>
              <w:bottom w:w="0" w:type="dxa"/>
            </w:tcMar>
            <w:vAlign w:val="center"/>
          </w:tcPr>
          <w:p w14:paraId="099E8CCB" w14:textId="77777777" w:rsidR="00355D0C" w:rsidRDefault="00000000">
            <w:pPr>
              <w:keepNext/>
              <w:keepLines/>
              <w:spacing w:after="0" w:line="240" w:lineRule="auto"/>
              <w:jc w:val="right"/>
            </w:pPr>
            <w:r>
              <w:rPr>
                <w:sz w:val="18"/>
              </w:rPr>
              <w:t>0,00</w:t>
            </w:r>
          </w:p>
        </w:tc>
        <w:tc>
          <w:tcPr>
            <w:tcW w:w="700" w:type="dxa"/>
            <w:tcMar>
              <w:top w:w="0" w:type="dxa"/>
              <w:bottom w:w="0" w:type="dxa"/>
            </w:tcMar>
            <w:vAlign w:val="center"/>
          </w:tcPr>
          <w:p w14:paraId="228C0963" w14:textId="77777777" w:rsidR="00355D0C" w:rsidRDefault="00000000">
            <w:pPr>
              <w:keepNext/>
              <w:keepLines/>
              <w:spacing w:after="0" w:line="240" w:lineRule="auto"/>
              <w:jc w:val="right"/>
            </w:pPr>
            <w:r>
              <w:rPr>
                <w:sz w:val="18"/>
              </w:rPr>
              <w:t>-</w:t>
            </w:r>
          </w:p>
        </w:tc>
      </w:tr>
      <w:tr w:rsidR="00355D0C" w14:paraId="0F3F08E1" w14:textId="77777777">
        <w:tblPrEx>
          <w:tblCellMar>
            <w:top w:w="0" w:type="dxa"/>
            <w:bottom w:w="0" w:type="dxa"/>
          </w:tblCellMar>
        </w:tblPrEx>
        <w:trPr>
          <w:cantSplit/>
          <w:trHeight w:val="560"/>
        </w:trPr>
        <w:tc>
          <w:tcPr>
            <w:tcW w:w="700" w:type="dxa"/>
            <w:tcMar>
              <w:top w:w="0" w:type="dxa"/>
              <w:bottom w:w="0" w:type="dxa"/>
            </w:tcMar>
            <w:vAlign w:val="center"/>
          </w:tcPr>
          <w:p w14:paraId="44B90EF7" w14:textId="77777777" w:rsidR="00355D0C" w:rsidRDefault="00000000">
            <w:pPr>
              <w:keepNext/>
              <w:keepLines/>
              <w:spacing w:after="0" w:line="240" w:lineRule="auto"/>
            </w:pPr>
            <w:r>
              <w:rPr>
                <w:sz w:val="18"/>
              </w:rPr>
              <w:t>4</w:t>
            </w:r>
          </w:p>
        </w:tc>
        <w:tc>
          <w:tcPr>
            <w:tcW w:w="3180" w:type="dxa"/>
            <w:tcMar>
              <w:top w:w="0" w:type="dxa"/>
              <w:bottom w:w="0" w:type="dxa"/>
            </w:tcMar>
            <w:vAlign w:val="center"/>
          </w:tcPr>
          <w:p w14:paraId="0A7FE231" w14:textId="77777777" w:rsidR="00355D0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71517B6" w14:textId="77777777" w:rsidR="00355D0C" w:rsidRDefault="00000000">
            <w:pPr>
              <w:keepNext/>
              <w:keepLines/>
              <w:spacing w:after="0" w:line="240" w:lineRule="auto"/>
            </w:pPr>
            <w:r>
              <w:rPr>
                <w:sz w:val="18"/>
              </w:rPr>
              <w:t>4</w:t>
            </w:r>
          </w:p>
        </w:tc>
        <w:tc>
          <w:tcPr>
            <w:tcW w:w="1860" w:type="dxa"/>
            <w:tcMar>
              <w:top w:w="0" w:type="dxa"/>
              <w:bottom w:w="0" w:type="dxa"/>
            </w:tcMar>
            <w:vAlign w:val="center"/>
          </w:tcPr>
          <w:p w14:paraId="2F3B9DE0" w14:textId="77777777" w:rsidR="00355D0C" w:rsidRDefault="00000000">
            <w:pPr>
              <w:keepNext/>
              <w:keepLines/>
              <w:spacing w:after="0" w:line="240" w:lineRule="auto"/>
              <w:jc w:val="right"/>
            </w:pPr>
            <w:r>
              <w:rPr>
                <w:sz w:val="18"/>
              </w:rPr>
              <w:t>216,00</w:t>
            </w:r>
          </w:p>
        </w:tc>
        <w:tc>
          <w:tcPr>
            <w:tcW w:w="1860" w:type="dxa"/>
            <w:tcMar>
              <w:top w:w="0" w:type="dxa"/>
              <w:bottom w:w="0" w:type="dxa"/>
            </w:tcMar>
            <w:vAlign w:val="center"/>
          </w:tcPr>
          <w:p w14:paraId="1D245E6A" w14:textId="77777777" w:rsidR="00355D0C" w:rsidRDefault="00000000">
            <w:pPr>
              <w:keepNext/>
              <w:keepLines/>
              <w:spacing w:after="0" w:line="240" w:lineRule="auto"/>
              <w:jc w:val="right"/>
            </w:pPr>
            <w:r>
              <w:rPr>
                <w:sz w:val="18"/>
              </w:rPr>
              <w:t>0,00</w:t>
            </w:r>
          </w:p>
        </w:tc>
        <w:tc>
          <w:tcPr>
            <w:tcW w:w="700" w:type="dxa"/>
            <w:tcMar>
              <w:top w:w="0" w:type="dxa"/>
              <w:bottom w:w="0" w:type="dxa"/>
            </w:tcMar>
            <w:vAlign w:val="center"/>
          </w:tcPr>
          <w:p w14:paraId="1746B94A" w14:textId="77777777" w:rsidR="00355D0C" w:rsidRDefault="00000000">
            <w:pPr>
              <w:keepNext/>
              <w:keepLines/>
              <w:spacing w:after="0" w:line="240" w:lineRule="auto"/>
              <w:jc w:val="right"/>
            </w:pPr>
            <w:r>
              <w:rPr>
                <w:sz w:val="18"/>
              </w:rPr>
              <w:t>0</w:t>
            </w:r>
          </w:p>
        </w:tc>
      </w:tr>
      <w:tr w:rsidR="00355D0C" w14:paraId="2AEE53FE" w14:textId="77777777">
        <w:tblPrEx>
          <w:tblCellMar>
            <w:top w:w="0" w:type="dxa"/>
            <w:bottom w:w="0" w:type="dxa"/>
          </w:tblCellMar>
        </w:tblPrEx>
        <w:trPr>
          <w:cantSplit/>
          <w:trHeight w:val="560"/>
        </w:trPr>
        <w:tc>
          <w:tcPr>
            <w:tcW w:w="700" w:type="dxa"/>
            <w:tcMar>
              <w:top w:w="0" w:type="dxa"/>
              <w:bottom w:w="0" w:type="dxa"/>
            </w:tcMar>
            <w:vAlign w:val="center"/>
          </w:tcPr>
          <w:p w14:paraId="00444DAC" w14:textId="77777777" w:rsidR="00355D0C" w:rsidRDefault="00355D0C">
            <w:pPr>
              <w:keepNext/>
              <w:keepLines/>
              <w:spacing w:after="0" w:line="240" w:lineRule="auto"/>
            </w:pPr>
          </w:p>
        </w:tc>
        <w:tc>
          <w:tcPr>
            <w:tcW w:w="3180" w:type="dxa"/>
            <w:tcMar>
              <w:top w:w="0" w:type="dxa"/>
              <w:bottom w:w="0" w:type="dxa"/>
            </w:tcMar>
            <w:vAlign w:val="center"/>
          </w:tcPr>
          <w:p w14:paraId="57648039" w14:textId="77777777" w:rsidR="00355D0C" w:rsidRDefault="00000000">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4597E226" w14:textId="77777777" w:rsidR="00355D0C" w:rsidRDefault="00000000">
            <w:pPr>
              <w:keepNext/>
              <w:keepLines/>
              <w:spacing w:after="0" w:line="240" w:lineRule="auto"/>
            </w:pPr>
            <w:r>
              <w:rPr>
                <w:b/>
                <w:sz w:val="18"/>
              </w:rPr>
              <w:t>X002, Y002</w:t>
            </w:r>
          </w:p>
        </w:tc>
        <w:tc>
          <w:tcPr>
            <w:tcW w:w="1860" w:type="dxa"/>
            <w:tcMar>
              <w:top w:w="0" w:type="dxa"/>
              <w:bottom w:w="0" w:type="dxa"/>
            </w:tcMar>
            <w:vAlign w:val="center"/>
          </w:tcPr>
          <w:p w14:paraId="6ECBB30E" w14:textId="77777777" w:rsidR="00355D0C" w:rsidRDefault="00000000">
            <w:pPr>
              <w:keepNext/>
              <w:keepLines/>
              <w:spacing w:after="0" w:line="240" w:lineRule="auto"/>
              <w:jc w:val="right"/>
            </w:pPr>
            <w:r>
              <w:rPr>
                <w:b/>
                <w:sz w:val="18"/>
              </w:rPr>
              <w:t>216,00</w:t>
            </w:r>
          </w:p>
        </w:tc>
        <w:tc>
          <w:tcPr>
            <w:tcW w:w="1860" w:type="dxa"/>
            <w:tcMar>
              <w:top w:w="0" w:type="dxa"/>
              <w:bottom w:w="0" w:type="dxa"/>
            </w:tcMar>
            <w:vAlign w:val="center"/>
          </w:tcPr>
          <w:p w14:paraId="17A10577" w14:textId="77777777" w:rsidR="00355D0C" w:rsidRDefault="00000000">
            <w:pPr>
              <w:keepNext/>
              <w:keepLines/>
              <w:spacing w:after="0" w:line="240" w:lineRule="auto"/>
              <w:jc w:val="right"/>
            </w:pPr>
            <w:r>
              <w:rPr>
                <w:b/>
                <w:sz w:val="18"/>
              </w:rPr>
              <w:t>0,00</w:t>
            </w:r>
          </w:p>
        </w:tc>
        <w:tc>
          <w:tcPr>
            <w:tcW w:w="700" w:type="dxa"/>
            <w:tcMar>
              <w:top w:w="0" w:type="dxa"/>
              <w:bottom w:w="0" w:type="dxa"/>
            </w:tcMar>
            <w:vAlign w:val="center"/>
          </w:tcPr>
          <w:p w14:paraId="175B76EE" w14:textId="77777777" w:rsidR="00355D0C" w:rsidRDefault="00000000">
            <w:pPr>
              <w:keepNext/>
              <w:keepLines/>
              <w:spacing w:after="0" w:line="240" w:lineRule="auto"/>
              <w:jc w:val="right"/>
            </w:pPr>
            <w:r>
              <w:rPr>
                <w:b/>
                <w:sz w:val="18"/>
              </w:rPr>
              <w:t>0</w:t>
            </w:r>
          </w:p>
        </w:tc>
      </w:tr>
      <w:tr w:rsidR="00355D0C" w14:paraId="6AA1FC68" w14:textId="77777777">
        <w:tblPrEx>
          <w:tblCellMar>
            <w:top w:w="0" w:type="dxa"/>
            <w:bottom w:w="0" w:type="dxa"/>
          </w:tblCellMar>
        </w:tblPrEx>
        <w:trPr>
          <w:cantSplit/>
          <w:trHeight w:val="560"/>
        </w:trPr>
        <w:tc>
          <w:tcPr>
            <w:tcW w:w="700" w:type="dxa"/>
            <w:tcMar>
              <w:top w:w="0" w:type="dxa"/>
              <w:bottom w:w="0" w:type="dxa"/>
            </w:tcMar>
            <w:vAlign w:val="center"/>
          </w:tcPr>
          <w:p w14:paraId="1418EE59" w14:textId="77777777" w:rsidR="00355D0C" w:rsidRDefault="00000000">
            <w:pPr>
              <w:keepNext/>
              <w:keepLines/>
              <w:spacing w:after="0" w:line="240" w:lineRule="auto"/>
            </w:pPr>
            <w:r>
              <w:rPr>
                <w:sz w:val="18"/>
              </w:rPr>
              <w:t>8</w:t>
            </w:r>
          </w:p>
        </w:tc>
        <w:tc>
          <w:tcPr>
            <w:tcW w:w="3180" w:type="dxa"/>
            <w:tcMar>
              <w:top w:w="0" w:type="dxa"/>
              <w:bottom w:w="0" w:type="dxa"/>
            </w:tcMar>
            <w:vAlign w:val="center"/>
          </w:tcPr>
          <w:p w14:paraId="1B7C9337" w14:textId="77777777" w:rsidR="00355D0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5287861" w14:textId="77777777" w:rsidR="00355D0C" w:rsidRDefault="00000000">
            <w:pPr>
              <w:keepNext/>
              <w:keepLines/>
              <w:spacing w:after="0" w:line="240" w:lineRule="auto"/>
            </w:pPr>
            <w:r>
              <w:rPr>
                <w:sz w:val="18"/>
              </w:rPr>
              <w:t>8</w:t>
            </w:r>
          </w:p>
        </w:tc>
        <w:tc>
          <w:tcPr>
            <w:tcW w:w="1860" w:type="dxa"/>
            <w:tcMar>
              <w:top w:w="0" w:type="dxa"/>
              <w:bottom w:w="0" w:type="dxa"/>
            </w:tcMar>
            <w:vAlign w:val="center"/>
          </w:tcPr>
          <w:p w14:paraId="4C9EDB15" w14:textId="77777777" w:rsidR="00355D0C" w:rsidRDefault="00000000">
            <w:pPr>
              <w:keepNext/>
              <w:keepLines/>
              <w:spacing w:after="0" w:line="240" w:lineRule="auto"/>
              <w:jc w:val="right"/>
            </w:pPr>
            <w:r>
              <w:rPr>
                <w:sz w:val="18"/>
              </w:rPr>
              <w:t>0,00</w:t>
            </w:r>
          </w:p>
        </w:tc>
        <w:tc>
          <w:tcPr>
            <w:tcW w:w="1860" w:type="dxa"/>
            <w:tcMar>
              <w:top w:w="0" w:type="dxa"/>
              <w:bottom w:w="0" w:type="dxa"/>
            </w:tcMar>
            <w:vAlign w:val="center"/>
          </w:tcPr>
          <w:p w14:paraId="0547972A" w14:textId="77777777" w:rsidR="00355D0C" w:rsidRDefault="00000000">
            <w:pPr>
              <w:keepNext/>
              <w:keepLines/>
              <w:spacing w:after="0" w:line="240" w:lineRule="auto"/>
              <w:jc w:val="right"/>
            </w:pPr>
            <w:r>
              <w:rPr>
                <w:sz w:val="18"/>
              </w:rPr>
              <w:t>0,00</w:t>
            </w:r>
          </w:p>
        </w:tc>
        <w:tc>
          <w:tcPr>
            <w:tcW w:w="700" w:type="dxa"/>
            <w:tcMar>
              <w:top w:w="0" w:type="dxa"/>
              <w:bottom w:w="0" w:type="dxa"/>
            </w:tcMar>
            <w:vAlign w:val="center"/>
          </w:tcPr>
          <w:p w14:paraId="267ED444" w14:textId="77777777" w:rsidR="00355D0C" w:rsidRDefault="00000000">
            <w:pPr>
              <w:keepNext/>
              <w:keepLines/>
              <w:spacing w:after="0" w:line="240" w:lineRule="auto"/>
              <w:jc w:val="right"/>
            </w:pPr>
            <w:r>
              <w:rPr>
                <w:sz w:val="18"/>
              </w:rPr>
              <w:t>-</w:t>
            </w:r>
          </w:p>
        </w:tc>
      </w:tr>
      <w:tr w:rsidR="00355D0C" w14:paraId="2F66CC6B" w14:textId="77777777">
        <w:tblPrEx>
          <w:tblCellMar>
            <w:top w:w="0" w:type="dxa"/>
            <w:bottom w:w="0" w:type="dxa"/>
          </w:tblCellMar>
        </w:tblPrEx>
        <w:trPr>
          <w:cantSplit/>
          <w:trHeight w:val="560"/>
        </w:trPr>
        <w:tc>
          <w:tcPr>
            <w:tcW w:w="700" w:type="dxa"/>
            <w:tcMar>
              <w:top w:w="0" w:type="dxa"/>
              <w:bottom w:w="0" w:type="dxa"/>
            </w:tcMar>
            <w:vAlign w:val="center"/>
          </w:tcPr>
          <w:p w14:paraId="635D1B77" w14:textId="77777777" w:rsidR="00355D0C" w:rsidRDefault="00000000">
            <w:pPr>
              <w:keepNext/>
              <w:keepLines/>
              <w:spacing w:after="0" w:line="240" w:lineRule="auto"/>
            </w:pPr>
            <w:r>
              <w:rPr>
                <w:sz w:val="18"/>
              </w:rPr>
              <w:t>5</w:t>
            </w:r>
          </w:p>
        </w:tc>
        <w:tc>
          <w:tcPr>
            <w:tcW w:w="3180" w:type="dxa"/>
            <w:tcMar>
              <w:top w:w="0" w:type="dxa"/>
              <w:bottom w:w="0" w:type="dxa"/>
            </w:tcMar>
            <w:vAlign w:val="center"/>
          </w:tcPr>
          <w:p w14:paraId="05F37D79" w14:textId="77777777" w:rsidR="00355D0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9214B3E" w14:textId="77777777" w:rsidR="00355D0C" w:rsidRDefault="00000000">
            <w:pPr>
              <w:keepNext/>
              <w:keepLines/>
              <w:spacing w:after="0" w:line="240" w:lineRule="auto"/>
            </w:pPr>
            <w:r>
              <w:rPr>
                <w:sz w:val="18"/>
              </w:rPr>
              <w:t>5</w:t>
            </w:r>
          </w:p>
        </w:tc>
        <w:tc>
          <w:tcPr>
            <w:tcW w:w="1860" w:type="dxa"/>
            <w:tcMar>
              <w:top w:w="0" w:type="dxa"/>
              <w:bottom w:w="0" w:type="dxa"/>
            </w:tcMar>
            <w:vAlign w:val="center"/>
          </w:tcPr>
          <w:p w14:paraId="3D5083E2" w14:textId="77777777" w:rsidR="00355D0C" w:rsidRDefault="00000000">
            <w:pPr>
              <w:keepNext/>
              <w:keepLines/>
              <w:spacing w:after="0" w:line="240" w:lineRule="auto"/>
              <w:jc w:val="right"/>
            </w:pPr>
            <w:r>
              <w:rPr>
                <w:sz w:val="18"/>
              </w:rPr>
              <w:t>0,00</w:t>
            </w:r>
          </w:p>
        </w:tc>
        <w:tc>
          <w:tcPr>
            <w:tcW w:w="1860" w:type="dxa"/>
            <w:tcMar>
              <w:top w:w="0" w:type="dxa"/>
              <w:bottom w:w="0" w:type="dxa"/>
            </w:tcMar>
            <w:vAlign w:val="center"/>
          </w:tcPr>
          <w:p w14:paraId="54E04054" w14:textId="77777777" w:rsidR="00355D0C" w:rsidRDefault="00000000">
            <w:pPr>
              <w:keepNext/>
              <w:keepLines/>
              <w:spacing w:after="0" w:line="240" w:lineRule="auto"/>
              <w:jc w:val="right"/>
            </w:pPr>
            <w:r>
              <w:rPr>
                <w:sz w:val="18"/>
              </w:rPr>
              <w:t>0,00</w:t>
            </w:r>
          </w:p>
        </w:tc>
        <w:tc>
          <w:tcPr>
            <w:tcW w:w="700" w:type="dxa"/>
            <w:tcMar>
              <w:top w:w="0" w:type="dxa"/>
              <w:bottom w:w="0" w:type="dxa"/>
            </w:tcMar>
            <w:vAlign w:val="center"/>
          </w:tcPr>
          <w:p w14:paraId="3A10BE71" w14:textId="77777777" w:rsidR="00355D0C" w:rsidRDefault="00000000">
            <w:pPr>
              <w:keepNext/>
              <w:keepLines/>
              <w:spacing w:after="0" w:line="240" w:lineRule="auto"/>
              <w:jc w:val="right"/>
            </w:pPr>
            <w:r>
              <w:rPr>
                <w:sz w:val="18"/>
              </w:rPr>
              <w:t>-</w:t>
            </w:r>
          </w:p>
        </w:tc>
      </w:tr>
      <w:tr w:rsidR="00355D0C" w14:paraId="403237A6" w14:textId="77777777">
        <w:tblPrEx>
          <w:tblCellMar>
            <w:top w:w="0" w:type="dxa"/>
            <w:bottom w:w="0" w:type="dxa"/>
          </w:tblCellMar>
        </w:tblPrEx>
        <w:trPr>
          <w:cantSplit/>
          <w:trHeight w:val="560"/>
        </w:trPr>
        <w:tc>
          <w:tcPr>
            <w:tcW w:w="700" w:type="dxa"/>
            <w:tcMar>
              <w:top w:w="0" w:type="dxa"/>
              <w:bottom w:w="0" w:type="dxa"/>
            </w:tcMar>
            <w:vAlign w:val="center"/>
          </w:tcPr>
          <w:p w14:paraId="15BCF6C5" w14:textId="77777777" w:rsidR="00355D0C" w:rsidRDefault="00355D0C">
            <w:pPr>
              <w:keepNext/>
              <w:keepLines/>
              <w:spacing w:after="0" w:line="240" w:lineRule="auto"/>
            </w:pPr>
          </w:p>
        </w:tc>
        <w:tc>
          <w:tcPr>
            <w:tcW w:w="3180" w:type="dxa"/>
            <w:tcMar>
              <w:top w:w="0" w:type="dxa"/>
              <w:bottom w:w="0" w:type="dxa"/>
            </w:tcMar>
            <w:vAlign w:val="center"/>
          </w:tcPr>
          <w:p w14:paraId="0D53AB80" w14:textId="77777777" w:rsidR="00355D0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DE70F5C" w14:textId="77777777" w:rsidR="00355D0C" w:rsidRDefault="00000000">
            <w:pPr>
              <w:keepNext/>
              <w:keepLines/>
              <w:spacing w:after="0" w:line="240" w:lineRule="auto"/>
            </w:pPr>
            <w:r>
              <w:rPr>
                <w:b/>
                <w:sz w:val="18"/>
              </w:rPr>
              <w:t>X003, Y003</w:t>
            </w:r>
          </w:p>
        </w:tc>
        <w:tc>
          <w:tcPr>
            <w:tcW w:w="1860" w:type="dxa"/>
            <w:tcMar>
              <w:top w:w="0" w:type="dxa"/>
              <w:bottom w:w="0" w:type="dxa"/>
            </w:tcMar>
            <w:vAlign w:val="center"/>
          </w:tcPr>
          <w:p w14:paraId="04452FAA" w14:textId="77777777" w:rsidR="00355D0C" w:rsidRDefault="00000000">
            <w:pPr>
              <w:keepNext/>
              <w:keepLines/>
              <w:spacing w:after="0" w:line="240" w:lineRule="auto"/>
              <w:jc w:val="right"/>
            </w:pPr>
            <w:r>
              <w:rPr>
                <w:b/>
                <w:sz w:val="18"/>
              </w:rPr>
              <w:t>0,00</w:t>
            </w:r>
          </w:p>
        </w:tc>
        <w:tc>
          <w:tcPr>
            <w:tcW w:w="1860" w:type="dxa"/>
            <w:tcMar>
              <w:top w:w="0" w:type="dxa"/>
              <w:bottom w:w="0" w:type="dxa"/>
            </w:tcMar>
            <w:vAlign w:val="center"/>
          </w:tcPr>
          <w:p w14:paraId="6D424E2B" w14:textId="77777777" w:rsidR="00355D0C" w:rsidRDefault="00000000">
            <w:pPr>
              <w:keepNext/>
              <w:keepLines/>
              <w:spacing w:after="0" w:line="240" w:lineRule="auto"/>
              <w:jc w:val="right"/>
            </w:pPr>
            <w:r>
              <w:rPr>
                <w:b/>
                <w:sz w:val="18"/>
              </w:rPr>
              <w:t>0,00</w:t>
            </w:r>
          </w:p>
        </w:tc>
        <w:tc>
          <w:tcPr>
            <w:tcW w:w="700" w:type="dxa"/>
            <w:tcMar>
              <w:top w:w="0" w:type="dxa"/>
              <w:bottom w:w="0" w:type="dxa"/>
            </w:tcMar>
            <w:vAlign w:val="center"/>
          </w:tcPr>
          <w:p w14:paraId="23BDB76B" w14:textId="77777777" w:rsidR="00355D0C" w:rsidRDefault="00000000">
            <w:pPr>
              <w:keepNext/>
              <w:keepLines/>
              <w:spacing w:after="0" w:line="240" w:lineRule="auto"/>
              <w:jc w:val="right"/>
            </w:pPr>
            <w:r>
              <w:rPr>
                <w:b/>
                <w:sz w:val="18"/>
              </w:rPr>
              <w:t>-</w:t>
            </w:r>
          </w:p>
        </w:tc>
      </w:tr>
      <w:tr w:rsidR="00355D0C" w14:paraId="36E1E266" w14:textId="77777777">
        <w:tblPrEx>
          <w:tblCellMar>
            <w:top w:w="0" w:type="dxa"/>
            <w:bottom w:w="0" w:type="dxa"/>
          </w:tblCellMar>
        </w:tblPrEx>
        <w:trPr>
          <w:cantSplit/>
          <w:trHeight w:val="560"/>
        </w:trPr>
        <w:tc>
          <w:tcPr>
            <w:tcW w:w="700" w:type="dxa"/>
            <w:tcMar>
              <w:top w:w="0" w:type="dxa"/>
              <w:bottom w:w="0" w:type="dxa"/>
            </w:tcMar>
            <w:vAlign w:val="center"/>
          </w:tcPr>
          <w:p w14:paraId="618DA27C" w14:textId="77777777" w:rsidR="00355D0C" w:rsidRDefault="00355D0C">
            <w:pPr>
              <w:keepNext/>
              <w:keepLines/>
              <w:spacing w:after="0" w:line="240" w:lineRule="auto"/>
            </w:pPr>
          </w:p>
        </w:tc>
        <w:tc>
          <w:tcPr>
            <w:tcW w:w="3180" w:type="dxa"/>
            <w:tcMar>
              <w:top w:w="0" w:type="dxa"/>
              <w:bottom w:w="0" w:type="dxa"/>
            </w:tcMar>
            <w:vAlign w:val="center"/>
          </w:tcPr>
          <w:p w14:paraId="119F5E52" w14:textId="77777777" w:rsidR="00355D0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9F21927" w14:textId="77777777" w:rsidR="00355D0C" w:rsidRDefault="00000000">
            <w:pPr>
              <w:keepNext/>
              <w:keepLines/>
              <w:spacing w:after="0" w:line="240" w:lineRule="auto"/>
            </w:pPr>
            <w:r>
              <w:rPr>
                <w:b/>
                <w:sz w:val="18"/>
              </w:rPr>
              <w:t>Y005</w:t>
            </w:r>
          </w:p>
        </w:tc>
        <w:tc>
          <w:tcPr>
            <w:tcW w:w="1860" w:type="dxa"/>
            <w:tcMar>
              <w:top w:w="0" w:type="dxa"/>
              <w:bottom w:w="0" w:type="dxa"/>
            </w:tcMar>
            <w:vAlign w:val="center"/>
          </w:tcPr>
          <w:p w14:paraId="47BBAAD5" w14:textId="77777777" w:rsidR="00355D0C" w:rsidRDefault="00000000">
            <w:pPr>
              <w:keepNext/>
              <w:keepLines/>
              <w:spacing w:after="0" w:line="240" w:lineRule="auto"/>
              <w:jc w:val="right"/>
            </w:pPr>
            <w:r>
              <w:rPr>
                <w:b/>
                <w:sz w:val="18"/>
              </w:rPr>
              <w:t>23.630,86</w:t>
            </w:r>
          </w:p>
        </w:tc>
        <w:tc>
          <w:tcPr>
            <w:tcW w:w="1860" w:type="dxa"/>
            <w:tcMar>
              <w:top w:w="0" w:type="dxa"/>
              <w:bottom w:w="0" w:type="dxa"/>
            </w:tcMar>
            <w:vAlign w:val="center"/>
          </w:tcPr>
          <w:p w14:paraId="05959A07" w14:textId="77777777" w:rsidR="00355D0C" w:rsidRDefault="00000000">
            <w:pPr>
              <w:keepNext/>
              <w:keepLines/>
              <w:spacing w:after="0" w:line="240" w:lineRule="auto"/>
              <w:jc w:val="right"/>
            </w:pPr>
            <w:r>
              <w:rPr>
                <w:b/>
                <w:sz w:val="18"/>
              </w:rPr>
              <w:t>51.353,00</w:t>
            </w:r>
          </w:p>
        </w:tc>
        <w:tc>
          <w:tcPr>
            <w:tcW w:w="700" w:type="dxa"/>
            <w:tcMar>
              <w:top w:w="0" w:type="dxa"/>
              <w:bottom w:w="0" w:type="dxa"/>
            </w:tcMar>
            <w:vAlign w:val="center"/>
          </w:tcPr>
          <w:p w14:paraId="5742C08E" w14:textId="77777777" w:rsidR="00355D0C" w:rsidRDefault="00000000">
            <w:pPr>
              <w:keepNext/>
              <w:keepLines/>
              <w:spacing w:after="0" w:line="240" w:lineRule="auto"/>
              <w:jc w:val="right"/>
            </w:pPr>
            <w:r>
              <w:rPr>
                <w:b/>
                <w:sz w:val="18"/>
              </w:rPr>
              <w:t>217,3</w:t>
            </w:r>
          </w:p>
        </w:tc>
      </w:tr>
    </w:tbl>
    <w:p w14:paraId="12B74297" w14:textId="77777777" w:rsidR="00355D0C" w:rsidRDefault="00355D0C">
      <w:pPr>
        <w:spacing w:after="0"/>
      </w:pPr>
    </w:p>
    <w:p w14:paraId="1B826509" w14:textId="77777777" w:rsidR="00355D0C" w:rsidRDefault="00000000">
      <w:r>
        <w:t xml:space="preserve">Prihodi poslovanja-šifra 6 iskazani su u visini 34.784,16 eura, a odnose se na prihode od imovine u iznosu od 14.268,39 eura (šifra 64), prihode od prodaje proizvoda i robe te pruženih usluga 15.427,20 eura (šifra 66), prihoda iz nadležnog proračuna 4.979,85 eura (šifra 67) te ostalih prihoda 108,72 eura (šifra 68). Prihodi od imovine (šifra 64)-iskazani iznos predstavlja prihode od kamata na dane zajmove neprofitnim organizacijama, građanima, </w:t>
      </w:r>
      <w:r>
        <w:lastRenderedPageBreak/>
        <w:t>kućanstvima, odnosno javna sredstva naplaćena od kupaca, fizičkih osoba kroz tzv. III. obrok (šifra 6432) za POS1, POS2, POS3 na lokaciji Lenišće istok i Cvjetna 1. Prihodi od prodaje proizvoda i robe te pruženih usluga-šifra 66-iskazani prihodi odnose se na prihode od pruženih usluga najma poslovnog prostora Zavodu za vještačenje, profesionalnu rehabilitaciju i zapošljavanje osoba sa invaliditetom. Prihodi iz nadležnog proračuna-šifra 67 odnose se na sredstva iz proračuna Grada Koprivnice koja su isplaćena za dio plaća. Ostali prihodi-šifra 68-odnose se na prihode koji proizlaze iz subvencija države za električnu energiju definiranu Uredbom Vlade RH.</w:t>
      </w:r>
    </w:p>
    <w:p w14:paraId="746ADD5D" w14:textId="77777777" w:rsidR="00355D0C" w:rsidRDefault="00000000">
      <w:r>
        <w:t>Rashodi poslovanja-šifra 3 iskazani su u  visini 86.137,16 eura, a odnose se na rashode za zaposlene 66.553,74 eura (šifra 31), materijalne rashode u iznosu od 19.536,70 eura (šifra 32) i financijske rashode (šifra 34) u iznosu od 46,72 eura. Rashodi za zaposlene (šifra 31) obuhvaćaju izdatke za bruto plaće za dvoje zaposlenika Agencije u iznosu od 54.804,02 eura (šifra 311), ostale rashode za zaposlene koji se odnose na regres, prehranu zaposlenika i uskrsnicu u visini od 2.707,00 eura (šifra 311) i doprinose na plaće u iznosu od 9.042,72 eura (šifra 313). Materijalni rashodi-šifra 32-odnose se na naknade za prijevoz, rashode za materijal i energiju, rashode za usluge i ostale nespomenute rashode poslovanja. Financijski rashodi-šifra 34-odnose se na negativne tečajne razlike koje se javljaju nakon cjelokupne otplate zajma III. obroka tijekom niza godina.</w:t>
      </w:r>
    </w:p>
    <w:p w14:paraId="42BB237C" w14:textId="77777777" w:rsidR="00355D0C" w:rsidRDefault="00000000">
      <w:r>
        <w:t>Šifra Y001-Rezultat poslovanja u izvještajnom razdoblju prikazuje manjak poslovanja u iznosu od 51.353,00 eura, a manjak proizlazi iz povećanja rashoda poslovanja. Napominjemo da postoje i obračunati prihodi poslovanja koji nisu naplaćeni u iznosu od 240.971,92 eura, a odnose se na kupce stanova koji kupuju stanove otplatom na više godina.</w:t>
      </w:r>
    </w:p>
    <w:p w14:paraId="204D18B3" w14:textId="77777777" w:rsidR="00355D0C" w:rsidRDefault="00000000">
      <w:r>
        <w:br/>
      </w:r>
    </w:p>
    <w:p w14:paraId="48B95DE6" w14:textId="77777777" w:rsidR="00355D0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1C20F7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54165A"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EA2D59"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DA8113"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96BCA1"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CF1060"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B4334E" w14:textId="77777777" w:rsidR="00355D0C" w:rsidRDefault="00000000">
            <w:pPr>
              <w:keepNext/>
              <w:keepLines/>
              <w:spacing w:after="0" w:line="240" w:lineRule="auto"/>
              <w:jc w:val="center"/>
            </w:pPr>
            <w:r>
              <w:rPr>
                <w:b/>
                <w:sz w:val="18"/>
              </w:rPr>
              <w:t>Indeks (%)</w:t>
            </w:r>
          </w:p>
        </w:tc>
      </w:tr>
      <w:tr w:rsidR="00355D0C" w14:paraId="64435910" w14:textId="77777777">
        <w:tblPrEx>
          <w:tblCellMar>
            <w:top w:w="0" w:type="dxa"/>
            <w:bottom w:w="0" w:type="dxa"/>
          </w:tblCellMar>
        </w:tblPrEx>
        <w:trPr>
          <w:cantSplit/>
          <w:trHeight w:val="560"/>
        </w:trPr>
        <w:tc>
          <w:tcPr>
            <w:tcW w:w="700" w:type="dxa"/>
            <w:tcMar>
              <w:top w:w="0" w:type="dxa"/>
              <w:bottom w:w="0" w:type="dxa"/>
            </w:tcMar>
            <w:vAlign w:val="center"/>
          </w:tcPr>
          <w:p w14:paraId="37CB68FE" w14:textId="77777777" w:rsidR="00355D0C" w:rsidRDefault="00000000">
            <w:pPr>
              <w:keepNext/>
              <w:keepLines/>
              <w:spacing w:after="0" w:line="240" w:lineRule="auto"/>
            </w:pPr>
            <w:r>
              <w:rPr>
                <w:sz w:val="18"/>
              </w:rPr>
              <w:t>6</w:t>
            </w:r>
          </w:p>
        </w:tc>
        <w:tc>
          <w:tcPr>
            <w:tcW w:w="3180" w:type="dxa"/>
            <w:tcMar>
              <w:top w:w="0" w:type="dxa"/>
              <w:bottom w:w="0" w:type="dxa"/>
            </w:tcMar>
            <w:vAlign w:val="center"/>
          </w:tcPr>
          <w:p w14:paraId="1187AAE3" w14:textId="77777777" w:rsidR="00355D0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CB370BA" w14:textId="77777777" w:rsidR="00355D0C" w:rsidRDefault="00000000">
            <w:pPr>
              <w:keepNext/>
              <w:keepLines/>
              <w:spacing w:after="0" w:line="240" w:lineRule="auto"/>
            </w:pPr>
            <w:r>
              <w:rPr>
                <w:sz w:val="18"/>
              </w:rPr>
              <w:t>6</w:t>
            </w:r>
          </w:p>
        </w:tc>
        <w:tc>
          <w:tcPr>
            <w:tcW w:w="1860" w:type="dxa"/>
            <w:tcMar>
              <w:top w:w="0" w:type="dxa"/>
              <w:bottom w:w="0" w:type="dxa"/>
            </w:tcMar>
            <w:vAlign w:val="center"/>
          </w:tcPr>
          <w:p w14:paraId="2AF85422" w14:textId="77777777" w:rsidR="00355D0C" w:rsidRDefault="00000000">
            <w:pPr>
              <w:keepNext/>
              <w:keepLines/>
              <w:spacing w:after="0" w:line="240" w:lineRule="auto"/>
              <w:jc w:val="right"/>
            </w:pPr>
            <w:r>
              <w:rPr>
                <w:sz w:val="18"/>
              </w:rPr>
              <w:t>48.724,13</w:t>
            </w:r>
          </w:p>
        </w:tc>
        <w:tc>
          <w:tcPr>
            <w:tcW w:w="1860" w:type="dxa"/>
            <w:tcMar>
              <w:top w:w="0" w:type="dxa"/>
              <w:bottom w:w="0" w:type="dxa"/>
            </w:tcMar>
            <w:vAlign w:val="center"/>
          </w:tcPr>
          <w:p w14:paraId="13C0578C" w14:textId="77777777" w:rsidR="00355D0C" w:rsidRDefault="00000000">
            <w:pPr>
              <w:keepNext/>
              <w:keepLines/>
              <w:spacing w:after="0" w:line="240" w:lineRule="auto"/>
              <w:jc w:val="right"/>
            </w:pPr>
            <w:r>
              <w:rPr>
                <w:sz w:val="18"/>
              </w:rPr>
              <w:t>34.784,16</w:t>
            </w:r>
          </w:p>
        </w:tc>
        <w:tc>
          <w:tcPr>
            <w:tcW w:w="700" w:type="dxa"/>
            <w:tcMar>
              <w:top w:w="0" w:type="dxa"/>
              <w:bottom w:w="0" w:type="dxa"/>
            </w:tcMar>
            <w:vAlign w:val="center"/>
          </w:tcPr>
          <w:p w14:paraId="54EB5C5E" w14:textId="77777777" w:rsidR="00355D0C" w:rsidRDefault="00000000">
            <w:pPr>
              <w:keepNext/>
              <w:keepLines/>
              <w:spacing w:after="0" w:line="240" w:lineRule="auto"/>
              <w:jc w:val="right"/>
            </w:pPr>
            <w:r>
              <w:rPr>
                <w:sz w:val="18"/>
              </w:rPr>
              <w:t>71,4</w:t>
            </w:r>
          </w:p>
        </w:tc>
      </w:tr>
    </w:tbl>
    <w:p w14:paraId="06BCAFA1" w14:textId="77777777" w:rsidR="00355D0C" w:rsidRDefault="00355D0C">
      <w:pPr>
        <w:spacing w:after="0"/>
      </w:pPr>
    </w:p>
    <w:p w14:paraId="0FAA6DC9" w14:textId="77777777" w:rsidR="00355D0C" w:rsidRDefault="00000000">
      <w:r>
        <w:t>Navedeni prihodi odnose se na prihode iz anuiteta iz III. obroka kojeg kupci stanova plaćaju prema Ugovoru o obročnoj otplati, prihode za najam poslovnog prostora kojeg Agencija ima u vlasništvu, a izdaje ga Zavodu za vještačenje, profesionalnu rehabilitaciju i zapošljavanje osoba sa invaliditetom te prihode iz nadležnog proračuna.</w:t>
      </w:r>
    </w:p>
    <w:p w14:paraId="184277A3" w14:textId="77777777" w:rsidR="00355D0C" w:rsidRDefault="00355D0C"/>
    <w:p w14:paraId="48F463DC" w14:textId="77777777" w:rsidR="00355D0C"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6573F2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A7B8E0"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6C4DED"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F67428"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D3146C"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C350AB"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FA9D5D" w14:textId="77777777" w:rsidR="00355D0C" w:rsidRDefault="00000000">
            <w:pPr>
              <w:keepNext/>
              <w:keepLines/>
              <w:spacing w:after="0" w:line="240" w:lineRule="auto"/>
              <w:jc w:val="center"/>
            </w:pPr>
            <w:r>
              <w:rPr>
                <w:b/>
                <w:sz w:val="18"/>
              </w:rPr>
              <w:t>Indeks (%)</w:t>
            </w:r>
          </w:p>
        </w:tc>
      </w:tr>
      <w:tr w:rsidR="00355D0C" w14:paraId="53B9AFC6" w14:textId="77777777">
        <w:tblPrEx>
          <w:tblCellMar>
            <w:top w:w="0" w:type="dxa"/>
            <w:bottom w:w="0" w:type="dxa"/>
          </w:tblCellMar>
        </w:tblPrEx>
        <w:trPr>
          <w:cantSplit/>
          <w:trHeight w:val="560"/>
        </w:trPr>
        <w:tc>
          <w:tcPr>
            <w:tcW w:w="700" w:type="dxa"/>
            <w:tcMar>
              <w:top w:w="0" w:type="dxa"/>
              <w:bottom w:w="0" w:type="dxa"/>
            </w:tcMar>
            <w:vAlign w:val="center"/>
          </w:tcPr>
          <w:p w14:paraId="2C325E86" w14:textId="77777777" w:rsidR="00355D0C" w:rsidRDefault="00000000">
            <w:pPr>
              <w:keepNext/>
              <w:keepLines/>
              <w:spacing w:after="0" w:line="240" w:lineRule="auto"/>
            </w:pPr>
            <w:r>
              <w:rPr>
                <w:sz w:val="18"/>
              </w:rPr>
              <w:t>64</w:t>
            </w:r>
          </w:p>
        </w:tc>
        <w:tc>
          <w:tcPr>
            <w:tcW w:w="3180" w:type="dxa"/>
            <w:tcMar>
              <w:top w:w="0" w:type="dxa"/>
              <w:bottom w:w="0" w:type="dxa"/>
            </w:tcMar>
            <w:vAlign w:val="center"/>
          </w:tcPr>
          <w:p w14:paraId="2360F593" w14:textId="77777777" w:rsidR="00355D0C"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59B9D966" w14:textId="77777777" w:rsidR="00355D0C" w:rsidRDefault="00000000">
            <w:pPr>
              <w:keepNext/>
              <w:keepLines/>
              <w:spacing w:after="0" w:line="240" w:lineRule="auto"/>
            </w:pPr>
            <w:r>
              <w:rPr>
                <w:sz w:val="18"/>
              </w:rPr>
              <w:t>64</w:t>
            </w:r>
          </w:p>
        </w:tc>
        <w:tc>
          <w:tcPr>
            <w:tcW w:w="1860" w:type="dxa"/>
            <w:tcMar>
              <w:top w:w="0" w:type="dxa"/>
              <w:bottom w:w="0" w:type="dxa"/>
            </w:tcMar>
            <w:vAlign w:val="center"/>
          </w:tcPr>
          <w:p w14:paraId="49D60575" w14:textId="77777777" w:rsidR="00355D0C" w:rsidRDefault="00000000">
            <w:pPr>
              <w:keepNext/>
              <w:keepLines/>
              <w:spacing w:after="0" w:line="240" w:lineRule="auto"/>
              <w:jc w:val="right"/>
            </w:pPr>
            <w:r>
              <w:rPr>
                <w:sz w:val="18"/>
              </w:rPr>
              <w:t>22.550,70</w:t>
            </w:r>
          </w:p>
        </w:tc>
        <w:tc>
          <w:tcPr>
            <w:tcW w:w="1860" w:type="dxa"/>
            <w:tcMar>
              <w:top w:w="0" w:type="dxa"/>
              <w:bottom w:w="0" w:type="dxa"/>
            </w:tcMar>
            <w:vAlign w:val="center"/>
          </w:tcPr>
          <w:p w14:paraId="329C2675" w14:textId="77777777" w:rsidR="00355D0C" w:rsidRDefault="00000000">
            <w:pPr>
              <w:keepNext/>
              <w:keepLines/>
              <w:spacing w:after="0" w:line="240" w:lineRule="auto"/>
              <w:jc w:val="right"/>
            </w:pPr>
            <w:r>
              <w:rPr>
                <w:sz w:val="18"/>
              </w:rPr>
              <w:t>14.268,39</w:t>
            </w:r>
          </w:p>
        </w:tc>
        <w:tc>
          <w:tcPr>
            <w:tcW w:w="700" w:type="dxa"/>
            <w:tcMar>
              <w:top w:w="0" w:type="dxa"/>
              <w:bottom w:w="0" w:type="dxa"/>
            </w:tcMar>
            <w:vAlign w:val="center"/>
          </w:tcPr>
          <w:p w14:paraId="2B7C1EE3" w14:textId="77777777" w:rsidR="00355D0C" w:rsidRDefault="00000000">
            <w:pPr>
              <w:keepNext/>
              <w:keepLines/>
              <w:spacing w:after="0" w:line="240" w:lineRule="auto"/>
              <w:jc w:val="right"/>
            </w:pPr>
            <w:r>
              <w:rPr>
                <w:sz w:val="18"/>
              </w:rPr>
              <w:t>63,3</w:t>
            </w:r>
          </w:p>
        </w:tc>
      </w:tr>
    </w:tbl>
    <w:p w14:paraId="15991972" w14:textId="77777777" w:rsidR="00355D0C" w:rsidRDefault="00355D0C">
      <w:pPr>
        <w:spacing w:after="0"/>
      </w:pPr>
    </w:p>
    <w:p w14:paraId="2D71EE13" w14:textId="77777777" w:rsidR="00355D0C" w:rsidRDefault="00000000">
      <w:r>
        <w:t>Navedeni prihodi odnose se na mjesečne kamate iz anuiteta III. obroka kojeg kupci stanova plaćaju Agenciji. S obzirom na isto izvještajno razdoblje prošle godine u obročnu otplatu iz počeka ili je prijevremeno otplatio preostali zajam krenuo je samo jedan kupac, stoga su prihodi od kamata znatno manji.</w:t>
      </w:r>
    </w:p>
    <w:p w14:paraId="06C72992" w14:textId="77777777" w:rsidR="00355D0C" w:rsidRDefault="00355D0C"/>
    <w:p w14:paraId="21927146" w14:textId="77777777" w:rsidR="00355D0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73B793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105CDB"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C6E98B"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FA44DF"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3114DF"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FAA481"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859525" w14:textId="77777777" w:rsidR="00355D0C" w:rsidRDefault="00000000">
            <w:pPr>
              <w:keepNext/>
              <w:keepLines/>
              <w:spacing w:after="0" w:line="240" w:lineRule="auto"/>
              <w:jc w:val="center"/>
            </w:pPr>
            <w:r>
              <w:rPr>
                <w:b/>
                <w:sz w:val="18"/>
              </w:rPr>
              <w:t>Indeks (%)</w:t>
            </w:r>
          </w:p>
        </w:tc>
      </w:tr>
      <w:tr w:rsidR="00355D0C" w14:paraId="3C46C1F7" w14:textId="77777777">
        <w:tblPrEx>
          <w:tblCellMar>
            <w:top w:w="0" w:type="dxa"/>
            <w:bottom w:w="0" w:type="dxa"/>
          </w:tblCellMar>
        </w:tblPrEx>
        <w:trPr>
          <w:cantSplit/>
          <w:trHeight w:val="560"/>
        </w:trPr>
        <w:tc>
          <w:tcPr>
            <w:tcW w:w="700" w:type="dxa"/>
            <w:tcMar>
              <w:top w:w="0" w:type="dxa"/>
              <w:bottom w:w="0" w:type="dxa"/>
            </w:tcMar>
            <w:vAlign w:val="center"/>
          </w:tcPr>
          <w:p w14:paraId="64A9E9AE" w14:textId="77777777" w:rsidR="00355D0C" w:rsidRDefault="00000000">
            <w:pPr>
              <w:keepNext/>
              <w:keepLines/>
              <w:spacing w:after="0" w:line="240" w:lineRule="auto"/>
            </w:pPr>
            <w:r>
              <w:rPr>
                <w:sz w:val="18"/>
              </w:rPr>
              <w:t>6415</w:t>
            </w:r>
          </w:p>
        </w:tc>
        <w:tc>
          <w:tcPr>
            <w:tcW w:w="3180" w:type="dxa"/>
            <w:tcMar>
              <w:top w:w="0" w:type="dxa"/>
              <w:bottom w:w="0" w:type="dxa"/>
            </w:tcMar>
            <w:vAlign w:val="center"/>
          </w:tcPr>
          <w:p w14:paraId="6576A621" w14:textId="77777777" w:rsidR="00355D0C" w:rsidRDefault="00000000">
            <w:pPr>
              <w:keepNext/>
              <w:keepLines/>
              <w:spacing w:after="0" w:line="240" w:lineRule="auto"/>
            </w:pPr>
            <w:r>
              <w:rPr>
                <w:sz w:val="18"/>
              </w:rPr>
              <w:t>Prihodi od pozitivnih tečajnih razlika i razlika zbog primjene valutne klauzule</w:t>
            </w:r>
          </w:p>
        </w:tc>
        <w:tc>
          <w:tcPr>
            <w:tcW w:w="700" w:type="dxa"/>
            <w:tcMar>
              <w:top w:w="0" w:type="dxa"/>
              <w:bottom w:w="0" w:type="dxa"/>
            </w:tcMar>
            <w:vAlign w:val="center"/>
          </w:tcPr>
          <w:p w14:paraId="13D02BBD" w14:textId="77777777" w:rsidR="00355D0C" w:rsidRDefault="00000000">
            <w:pPr>
              <w:keepNext/>
              <w:keepLines/>
              <w:spacing w:after="0" w:line="240" w:lineRule="auto"/>
            </w:pPr>
            <w:r>
              <w:rPr>
                <w:sz w:val="18"/>
              </w:rPr>
              <w:t>6415</w:t>
            </w:r>
          </w:p>
        </w:tc>
        <w:tc>
          <w:tcPr>
            <w:tcW w:w="1860" w:type="dxa"/>
            <w:tcMar>
              <w:top w:w="0" w:type="dxa"/>
              <w:bottom w:w="0" w:type="dxa"/>
            </w:tcMar>
            <w:vAlign w:val="center"/>
          </w:tcPr>
          <w:p w14:paraId="342AACC8" w14:textId="77777777" w:rsidR="00355D0C" w:rsidRDefault="00000000">
            <w:pPr>
              <w:keepNext/>
              <w:keepLines/>
              <w:spacing w:after="0" w:line="240" w:lineRule="auto"/>
              <w:jc w:val="right"/>
            </w:pPr>
            <w:r>
              <w:rPr>
                <w:sz w:val="18"/>
              </w:rPr>
              <w:t>0,00</w:t>
            </w:r>
          </w:p>
        </w:tc>
        <w:tc>
          <w:tcPr>
            <w:tcW w:w="1860" w:type="dxa"/>
            <w:tcMar>
              <w:top w:w="0" w:type="dxa"/>
              <w:bottom w:w="0" w:type="dxa"/>
            </w:tcMar>
            <w:vAlign w:val="center"/>
          </w:tcPr>
          <w:p w14:paraId="64333432" w14:textId="77777777" w:rsidR="00355D0C" w:rsidRDefault="00000000">
            <w:pPr>
              <w:keepNext/>
              <w:keepLines/>
              <w:spacing w:after="0" w:line="240" w:lineRule="auto"/>
              <w:jc w:val="right"/>
            </w:pPr>
            <w:r>
              <w:rPr>
                <w:sz w:val="18"/>
              </w:rPr>
              <w:t>1.338,69</w:t>
            </w:r>
          </w:p>
        </w:tc>
        <w:tc>
          <w:tcPr>
            <w:tcW w:w="700" w:type="dxa"/>
            <w:tcMar>
              <w:top w:w="0" w:type="dxa"/>
              <w:bottom w:w="0" w:type="dxa"/>
            </w:tcMar>
            <w:vAlign w:val="center"/>
          </w:tcPr>
          <w:p w14:paraId="1B663D34" w14:textId="77777777" w:rsidR="00355D0C" w:rsidRDefault="00000000">
            <w:pPr>
              <w:keepNext/>
              <w:keepLines/>
              <w:spacing w:after="0" w:line="240" w:lineRule="auto"/>
              <w:jc w:val="right"/>
            </w:pPr>
            <w:r>
              <w:rPr>
                <w:sz w:val="18"/>
              </w:rPr>
              <w:t>-</w:t>
            </w:r>
          </w:p>
        </w:tc>
      </w:tr>
    </w:tbl>
    <w:p w14:paraId="018C04EA" w14:textId="77777777" w:rsidR="00355D0C" w:rsidRDefault="00355D0C">
      <w:pPr>
        <w:spacing w:after="0"/>
      </w:pPr>
    </w:p>
    <w:p w14:paraId="73A532DC" w14:textId="77777777" w:rsidR="00355D0C" w:rsidRDefault="00000000">
      <w:r>
        <w:t>Navedeni prihodi odnose se na valutnu klauzulu koja je nastala uskladom sintetike i analitike po karticama kupaca.</w:t>
      </w:r>
    </w:p>
    <w:p w14:paraId="239D286C" w14:textId="77777777" w:rsidR="00355D0C" w:rsidRDefault="00355D0C"/>
    <w:p w14:paraId="5F24780C" w14:textId="77777777" w:rsidR="00355D0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0507BE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1E42C6"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F4544F"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53453F"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9466F7"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3EECEB"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13CF63" w14:textId="77777777" w:rsidR="00355D0C" w:rsidRDefault="00000000">
            <w:pPr>
              <w:keepNext/>
              <w:keepLines/>
              <w:spacing w:after="0" w:line="240" w:lineRule="auto"/>
              <w:jc w:val="center"/>
            </w:pPr>
            <w:r>
              <w:rPr>
                <w:b/>
                <w:sz w:val="18"/>
              </w:rPr>
              <w:t>Indeks (%)</w:t>
            </w:r>
          </w:p>
        </w:tc>
      </w:tr>
      <w:tr w:rsidR="00355D0C" w14:paraId="1C39B549" w14:textId="77777777">
        <w:tblPrEx>
          <w:tblCellMar>
            <w:top w:w="0" w:type="dxa"/>
            <w:bottom w:w="0" w:type="dxa"/>
          </w:tblCellMar>
        </w:tblPrEx>
        <w:trPr>
          <w:cantSplit/>
          <w:trHeight w:val="560"/>
        </w:trPr>
        <w:tc>
          <w:tcPr>
            <w:tcW w:w="700" w:type="dxa"/>
            <w:tcMar>
              <w:top w:w="0" w:type="dxa"/>
              <w:bottom w:w="0" w:type="dxa"/>
            </w:tcMar>
            <w:vAlign w:val="center"/>
          </w:tcPr>
          <w:p w14:paraId="1525891B" w14:textId="77777777" w:rsidR="00355D0C" w:rsidRDefault="00000000">
            <w:pPr>
              <w:keepNext/>
              <w:keepLines/>
              <w:spacing w:after="0" w:line="240" w:lineRule="auto"/>
            </w:pPr>
            <w:r>
              <w:rPr>
                <w:sz w:val="18"/>
              </w:rPr>
              <w:t>66</w:t>
            </w:r>
          </w:p>
        </w:tc>
        <w:tc>
          <w:tcPr>
            <w:tcW w:w="3180" w:type="dxa"/>
            <w:tcMar>
              <w:top w:w="0" w:type="dxa"/>
              <w:bottom w:w="0" w:type="dxa"/>
            </w:tcMar>
            <w:vAlign w:val="center"/>
          </w:tcPr>
          <w:p w14:paraId="5C098389" w14:textId="77777777" w:rsidR="00355D0C"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7407F77B" w14:textId="77777777" w:rsidR="00355D0C" w:rsidRDefault="00000000">
            <w:pPr>
              <w:keepNext/>
              <w:keepLines/>
              <w:spacing w:after="0" w:line="240" w:lineRule="auto"/>
            </w:pPr>
            <w:r>
              <w:rPr>
                <w:sz w:val="18"/>
              </w:rPr>
              <w:t>66</w:t>
            </w:r>
          </w:p>
        </w:tc>
        <w:tc>
          <w:tcPr>
            <w:tcW w:w="1860" w:type="dxa"/>
            <w:tcMar>
              <w:top w:w="0" w:type="dxa"/>
              <w:bottom w:w="0" w:type="dxa"/>
            </w:tcMar>
            <w:vAlign w:val="center"/>
          </w:tcPr>
          <w:p w14:paraId="70AE2C48" w14:textId="77777777" w:rsidR="00355D0C" w:rsidRDefault="00000000">
            <w:pPr>
              <w:keepNext/>
              <w:keepLines/>
              <w:spacing w:after="0" w:line="240" w:lineRule="auto"/>
              <w:jc w:val="right"/>
            </w:pPr>
            <w:r>
              <w:rPr>
                <w:sz w:val="18"/>
              </w:rPr>
              <w:t>21.174,73</w:t>
            </w:r>
          </w:p>
        </w:tc>
        <w:tc>
          <w:tcPr>
            <w:tcW w:w="1860" w:type="dxa"/>
            <w:tcMar>
              <w:top w:w="0" w:type="dxa"/>
              <w:bottom w:w="0" w:type="dxa"/>
            </w:tcMar>
            <w:vAlign w:val="center"/>
          </w:tcPr>
          <w:p w14:paraId="64E5B712" w14:textId="77777777" w:rsidR="00355D0C" w:rsidRDefault="00000000">
            <w:pPr>
              <w:keepNext/>
              <w:keepLines/>
              <w:spacing w:after="0" w:line="240" w:lineRule="auto"/>
              <w:jc w:val="right"/>
            </w:pPr>
            <w:r>
              <w:rPr>
                <w:sz w:val="18"/>
              </w:rPr>
              <w:t>15.427,20</w:t>
            </w:r>
          </w:p>
        </w:tc>
        <w:tc>
          <w:tcPr>
            <w:tcW w:w="700" w:type="dxa"/>
            <w:tcMar>
              <w:top w:w="0" w:type="dxa"/>
              <w:bottom w:w="0" w:type="dxa"/>
            </w:tcMar>
            <w:vAlign w:val="center"/>
          </w:tcPr>
          <w:p w14:paraId="5BAD238D" w14:textId="77777777" w:rsidR="00355D0C" w:rsidRDefault="00000000">
            <w:pPr>
              <w:keepNext/>
              <w:keepLines/>
              <w:spacing w:after="0" w:line="240" w:lineRule="auto"/>
              <w:jc w:val="right"/>
            </w:pPr>
            <w:r>
              <w:rPr>
                <w:sz w:val="18"/>
              </w:rPr>
              <w:t>72,9</w:t>
            </w:r>
          </w:p>
        </w:tc>
      </w:tr>
    </w:tbl>
    <w:p w14:paraId="6CEC7BEC" w14:textId="77777777" w:rsidR="00355D0C" w:rsidRDefault="00355D0C">
      <w:pPr>
        <w:spacing w:after="0"/>
      </w:pPr>
    </w:p>
    <w:p w14:paraId="475AF4BC" w14:textId="77777777" w:rsidR="00355D0C" w:rsidRDefault="00000000">
      <w:r>
        <w:t>Prihodi se odnose na otplatu III. obroka kojeg kupci plaćaju izravno Agenciji i na prihode Zavoda za vještačenje, profesionalnu rehabilitaciju i zapošljavanje osoba sa invaliditetom.</w:t>
      </w:r>
    </w:p>
    <w:p w14:paraId="076BAEA3" w14:textId="77777777" w:rsidR="00355D0C" w:rsidRDefault="00355D0C"/>
    <w:p w14:paraId="49174AA0" w14:textId="77777777" w:rsidR="00355D0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093F28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6CACC"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EEB273"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0C46A"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BBD9CB"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9F1EEF"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7276A9" w14:textId="77777777" w:rsidR="00355D0C" w:rsidRDefault="00000000">
            <w:pPr>
              <w:keepNext/>
              <w:keepLines/>
              <w:spacing w:after="0" w:line="240" w:lineRule="auto"/>
              <w:jc w:val="center"/>
            </w:pPr>
            <w:r>
              <w:rPr>
                <w:b/>
                <w:sz w:val="18"/>
              </w:rPr>
              <w:t>Indeks (%)</w:t>
            </w:r>
          </w:p>
        </w:tc>
      </w:tr>
      <w:tr w:rsidR="00355D0C" w14:paraId="13E60B70" w14:textId="77777777">
        <w:tblPrEx>
          <w:tblCellMar>
            <w:top w:w="0" w:type="dxa"/>
            <w:bottom w:w="0" w:type="dxa"/>
          </w:tblCellMar>
        </w:tblPrEx>
        <w:trPr>
          <w:cantSplit/>
          <w:trHeight w:val="560"/>
        </w:trPr>
        <w:tc>
          <w:tcPr>
            <w:tcW w:w="700" w:type="dxa"/>
            <w:tcMar>
              <w:top w:w="0" w:type="dxa"/>
              <w:bottom w:w="0" w:type="dxa"/>
            </w:tcMar>
            <w:vAlign w:val="center"/>
          </w:tcPr>
          <w:p w14:paraId="56FA27E7" w14:textId="77777777" w:rsidR="00355D0C" w:rsidRDefault="00000000">
            <w:pPr>
              <w:keepNext/>
              <w:keepLines/>
              <w:spacing w:after="0" w:line="240" w:lineRule="auto"/>
            </w:pPr>
            <w:r>
              <w:rPr>
                <w:sz w:val="18"/>
              </w:rPr>
              <w:t>67</w:t>
            </w:r>
          </w:p>
        </w:tc>
        <w:tc>
          <w:tcPr>
            <w:tcW w:w="3180" w:type="dxa"/>
            <w:tcMar>
              <w:top w:w="0" w:type="dxa"/>
              <w:bottom w:w="0" w:type="dxa"/>
            </w:tcMar>
            <w:vAlign w:val="center"/>
          </w:tcPr>
          <w:p w14:paraId="55D9B484" w14:textId="77777777" w:rsidR="00355D0C"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1BEEFF80" w14:textId="77777777" w:rsidR="00355D0C" w:rsidRDefault="00000000">
            <w:pPr>
              <w:keepNext/>
              <w:keepLines/>
              <w:spacing w:after="0" w:line="240" w:lineRule="auto"/>
            </w:pPr>
            <w:r>
              <w:rPr>
                <w:sz w:val="18"/>
              </w:rPr>
              <w:t>67</w:t>
            </w:r>
          </w:p>
        </w:tc>
        <w:tc>
          <w:tcPr>
            <w:tcW w:w="1860" w:type="dxa"/>
            <w:tcMar>
              <w:top w:w="0" w:type="dxa"/>
              <w:bottom w:w="0" w:type="dxa"/>
            </w:tcMar>
            <w:vAlign w:val="center"/>
          </w:tcPr>
          <w:p w14:paraId="3ACC9948" w14:textId="77777777" w:rsidR="00355D0C" w:rsidRDefault="00000000">
            <w:pPr>
              <w:keepNext/>
              <w:keepLines/>
              <w:spacing w:after="0" w:line="240" w:lineRule="auto"/>
              <w:jc w:val="right"/>
            </w:pPr>
            <w:r>
              <w:rPr>
                <w:sz w:val="18"/>
              </w:rPr>
              <w:t>4.720,76</w:t>
            </w:r>
          </w:p>
        </w:tc>
        <w:tc>
          <w:tcPr>
            <w:tcW w:w="1860" w:type="dxa"/>
            <w:tcMar>
              <w:top w:w="0" w:type="dxa"/>
              <w:bottom w:w="0" w:type="dxa"/>
            </w:tcMar>
            <w:vAlign w:val="center"/>
          </w:tcPr>
          <w:p w14:paraId="56213972" w14:textId="77777777" w:rsidR="00355D0C" w:rsidRDefault="00000000">
            <w:pPr>
              <w:keepNext/>
              <w:keepLines/>
              <w:spacing w:after="0" w:line="240" w:lineRule="auto"/>
              <w:jc w:val="right"/>
            </w:pPr>
            <w:r>
              <w:rPr>
                <w:sz w:val="18"/>
              </w:rPr>
              <w:t>4.979,85</w:t>
            </w:r>
          </w:p>
        </w:tc>
        <w:tc>
          <w:tcPr>
            <w:tcW w:w="700" w:type="dxa"/>
            <w:tcMar>
              <w:top w:w="0" w:type="dxa"/>
              <w:bottom w:w="0" w:type="dxa"/>
            </w:tcMar>
            <w:vAlign w:val="center"/>
          </w:tcPr>
          <w:p w14:paraId="53A59F88" w14:textId="77777777" w:rsidR="00355D0C" w:rsidRDefault="00000000">
            <w:pPr>
              <w:keepNext/>
              <w:keepLines/>
              <w:spacing w:after="0" w:line="240" w:lineRule="auto"/>
              <w:jc w:val="right"/>
            </w:pPr>
            <w:r>
              <w:rPr>
                <w:sz w:val="18"/>
              </w:rPr>
              <w:t>105,5</w:t>
            </w:r>
          </w:p>
        </w:tc>
      </w:tr>
    </w:tbl>
    <w:p w14:paraId="7B5171CB" w14:textId="77777777" w:rsidR="00355D0C" w:rsidRDefault="00355D0C">
      <w:pPr>
        <w:spacing w:after="0"/>
      </w:pPr>
    </w:p>
    <w:p w14:paraId="7E877C18" w14:textId="77777777" w:rsidR="00355D0C" w:rsidRDefault="00000000">
      <w:r>
        <w:t>Ovi prihodi se odnose na sredstva iz proračuna Grada Koprivnice koja su isplaćena sa računa Riznice Grada Koprivnice za dio plaća.</w:t>
      </w:r>
    </w:p>
    <w:p w14:paraId="2EB08E98" w14:textId="77777777" w:rsidR="00355D0C" w:rsidRDefault="00355D0C"/>
    <w:p w14:paraId="465B2A05" w14:textId="77777777" w:rsidR="00355D0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2F41CA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67E2A0"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6DE1AD"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77839C"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00E8BE"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ED782D"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27FDD7" w14:textId="77777777" w:rsidR="00355D0C" w:rsidRDefault="00000000">
            <w:pPr>
              <w:keepNext/>
              <w:keepLines/>
              <w:spacing w:after="0" w:line="240" w:lineRule="auto"/>
              <w:jc w:val="center"/>
            </w:pPr>
            <w:r>
              <w:rPr>
                <w:b/>
                <w:sz w:val="18"/>
              </w:rPr>
              <w:t>Indeks (%)</w:t>
            </w:r>
          </w:p>
        </w:tc>
      </w:tr>
      <w:tr w:rsidR="00355D0C" w14:paraId="74B0C9E3" w14:textId="77777777">
        <w:tblPrEx>
          <w:tblCellMar>
            <w:top w:w="0" w:type="dxa"/>
            <w:bottom w:w="0" w:type="dxa"/>
          </w:tblCellMar>
        </w:tblPrEx>
        <w:trPr>
          <w:cantSplit/>
          <w:trHeight w:val="560"/>
        </w:trPr>
        <w:tc>
          <w:tcPr>
            <w:tcW w:w="700" w:type="dxa"/>
            <w:tcMar>
              <w:top w:w="0" w:type="dxa"/>
              <w:bottom w:w="0" w:type="dxa"/>
            </w:tcMar>
            <w:vAlign w:val="center"/>
          </w:tcPr>
          <w:p w14:paraId="09EFF30B" w14:textId="77777777" w:rsidR="00355D0C" w:rsidRDefault="00000000">
            <w:pPr>
              <w:keepNext/>
              <w:keepLines/>
              <w:spacing w:after="0" w:line="240" w:lineRule="auto"/>
            </w:pPr>
            <w:r>
              <w:rPr>
                <w:sz w:val="18"/>
              </w:rPr>
              <w:t>68</w:t>
            </w:r>
          </w:p>
        </w:tc>
        <w:tc>
          <w:tcPr>
            <w:tcW w:w="3180" w:type="dxa"/>
            <w:tcMar>
              <w:top w:w="0" w:type="dxa"/>
              <w:bottom w:w="0" w:type="dxa"/>
            </w:tcMar>
            <w:vAlign w:val="center"/>
          </w:tcPr>
          <w:p w14:paraId="554B9C93" w14:textId="77777777" w:rsidR="00355D0C"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50C29A5A" w14:textId="77777777" w:rsidR="00355D0C" w:rsidRDefault="00000000">
            <w:pPr>
              <w:keepNext/>
              <w:keepLines/>
              <w:spacing w:after="0" w:line="240" w:lineRule="auto"/>
            </w:pPr>
            <w:r>
              <w:rPr>
                <w:sz w:val="18"/>
              </w:rPr>
              <w:t>68</w:t>
            </w:r>
          </w:p>
        </w:tc>
        <w:tc>
          <w:tcPr>
            <w:tcW w:w="1860" w:type="dxa"/>
            <w:tcMar>
              <w:top w:w="0" w:type="dxa"/>
              <w:bottom w:w="0" w:type="dxa"/>
            </w:tcMar>
            <w:vAlign w:val="center"/>
          </w:tcPr>
          <w:p w14:paraId="54A85E90" w14:textId="77777777" w:rsidR="00355D0C" w:rsidRDefault="00000000">
            <w:pPr>
              <w:keepNext/>
              <w:keepLines/>
              <w:spacing w:after="0" w:line="240" w:lineRule="auto"/>
              <w:jc w:val="right"/>
            </w:pPr>
            <w:r>
              <w:rPr>
                <w:sz w:val="18"/>
              </w:rPr>
              <w:t>277,94</w:t>
            </w:r>
          </w:p>
        </w:tc>
        <w:tc>
          <w:tcPr>
            <w:tcW w:w="1860" w:type="dxa"/>
            <w:tcMar>
              <w:top w:w="0" w:type="dxa"/>
              <w:bottom w:w="0" w:type="dxa"/>
            </w:tcMar>
            <w:vAlign w:val="center"/>
          </w:tcPr>
          <w:p w14:paraId="5A409B6B" w14:textId="77777777" w:rsidR="00355D0C" w:rsidRDefault="00000000">
            <w:pPr>
              <w:keepNext/>
              <w:keepLines/>
              <w:spacing w:after="0" w:line="240" w:lineRule="auto"/>
              <w:jc w:val="right"/>
            </w:pPr>
            <w:r>
              <w:rPr>
                <w:sz w:val="18"/>
              </w:rPr>
              <w:t>108,72</w:t>
            </w:r>
          </w:p>
        </w:tc>
        <w:tc>
          <w:tcPr>
            <w:tcW w:w="700" w:type="dxa"/>
            <w:tcMar>
              <w:top w:w="0" w:type="dxa"/>
              <w:bottom w:w="0" w:type="dxa"/>
            </w:tcMar>
            <w:vAlign w:val="center"/>
          </w:tcPr>
          <w:p w14:paraId="7B97414B" w14:textId="77777777" w:rsidR="00355D0C" w:rsidRDefault="00000000">
            <w:pPr>
              <w:keepNext/>
              <w:keepLines/>
              <w:spacing w:after="0" w:line="240" w:lineRule="auto"/>
              <w:jc w:val="right"/>
            </w:pPr>
            <w:r>
              <w:rPr>
                <w:sz w:val="18"/>
              </w:rPr>
              <w:t>39,1</w:t>
            </w:r>
          </w:p>
        </w:tc>
      </w:tr>
    </w:tbl>
    <w:p w14:paraId="3D3DFC2E" w14:textId="77777777" w:rsidR="00355D0C" w:rsidRDefault="00355D0C">
      <w:pPr>
        <w:spacing w:after="0"/>
      </w:pPr>
    </w:p>
    <w:p w14:paraId="0E004E26" w14:textId="77777777" w:rsidR="00355D0C" w:rsidRDefault="00000000">
      <w:r>
        <w:t>Prihodi nastali zbog obračuna razlike za električnu energiju temeljem Uredbe Vlade RH.</w:t>
      </w:r>
    </w:p>
    <w:p w14:paraId="3CC2CEB0" w14:textId="77777777" w:rsidR="00355D0C" w:rsidRDefault="00355D0C"/>
    <w:p w14:paraId="18800956" w14:textId="77777777" w:rsidR="00355D0C"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6112D8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F2E217"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D84886"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63110E"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91FE6E"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DAB295"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01B1E7" w14:textId="77777777" w:rsidR="00355D0C" w:rsidRDefault="00000000">
            <w:pPr>
              <w:keepNext/>
              <w:keepLines/>
              <w:spacing w:after="0" w:line="240" w:lineRule="auto"/>
              <w:jc w:val="center"/>
            </w:pPr>
            <w:r>
              <w:rPr>
                <w:b/>
                <w:sz w:val="18"/>
              </w:rPr>
              <w:t>Indeks (%)</w:t>
            </w:r>
          </w:p>
        </w:tc>
      </w:tr>
      <w:tr w:rsidR="00355D0C" w14:paraId="2B4CD619" w14:textId="77777777">
        <w:tblPrEx>
          <w:tblCellMar>
            <w:top w:w="0" w:type="dxa"/>
            <w:bottom w:w="0" w:type="dxa"/>
          </w:tblCellMar>
        </w:tblPrEx>
        <w:trPr>
          <w:cantSplit/>
          <w:trHeight w:val="560"/>
        </w:trPr>
        <w:tc>
          <w:tcPr>
            <w:tcW w:w="700" w:type="dxa"/>
            <w:tcMar>
              <w:top w:w="0" w:type="dxa"/>
              <w:bottom w:w="0" w:type="dxa"/>
            </w:tcMar>
            <w:vAlign w:val="center"/>
          </w:tcPr>
          <w:p w14:paraId="2B071623" w14:textId="77777777" w:rsidR="00355D0C" w:rsidRDefault="00000000">
            <w:pPr>
              <w:keepNext/>
              <w:keepLines/>
              <w:spacing w:after="0" w:line="240" w:lineRule="auto"/>
            </w:pPr>
            <w:r>
              <w:rPr>
                <w:sz w:val="18"/>
              </w:rPr>
              <w:t>3</w:t>
            </w:r>
          </w:p>
        </w:tc>
        <w:tc>
          <w:tcPr>
            <w:tcW w:w="3180" w:type="dxa"/>
            <w:tcMar>
              <w:top w:w="0" w:type="dxa"/>
              <w:bottom w:w="0" w:type="dxa"/>
            </w:tcMar>
            <w:vAlign w:val="center"/>
          </w:tcPr>
          <w:p w14:paraId="49E90C70" w14:textId="77777777" w:rsidR="00355D0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C8F08B8" w14:textId="77777777" w:rsidR="00355D0C" w:rsidRDefault="00000000">
            <w:pPr>
              <w:keepNext/>
              <w:keepLines/>
              <w:spacing w:after="0" w:line="240" w:lineRule="auto"/>
            </w:pPr>
            <w:r>
              <w:rPr>
                <w:sz w:val="18"/>
              </w:rPr>
              <w:t>3</w:t>
            </w:r>
          </w:p>
        </w:tc>
        <w:tc>
          <w:tcPr>
            <w:tcW w:w="1860" w:type="dxa"/>
            <w:tcMar>
              <w:top w:w="0" w:type="dxa"/>
              <w:bottom w:w="0" w:type="dxa"/>
            </w:tcMar>
            <w:vAlign w:val="center"/>
          </w:tcPr>
          <w:p w14:paraId="664E4120" w14:textId="77777777" w:rsidR="00355D0C" w:rsidRDefault="00000000">
            <w:pPr>
              <w:keepNext/>
              <w:keepLines/>
              <w:spacing w:after="0" w:line="240" w:lineRule="auto"/>
              <w:jc w:val="right"/>
            </w:pPr>
            <w:r>
              <w:rPr>
                <w:sz w:val="18"/>
              </w:rPr>
              <w:t>72.138,99</w:t>
            </w:r>
          </w:p>
        </w:tc>
        <w:tc>
          <w:tcPr>
            <w:tcW w:w="1860" w:type="dxa"/>
            <w:tcMar>
              <w:top w:w="0" w:type="dxa"/>
              <w:bottom w:w="0" w:type="dxa"/>
            </w:tcMar>
            <w:vAlign w:val="center"/>
          </w:tcPr>
          <w:p w14:paraId="63255100" w14:textId="77777777" w:rsidR="00355D0C" w:rsidRDefault="00000000">
            <w:pPr>
              <w:keepNext/>
              <w:keepLines/>
              <w:spacing w:after="0" w:line="240" w:lineRule="auto"/>
              <w:jc w:val="right"/>
            </w:pPr>
            <w:r>
              <w:rPr>
                <w:sz w:val="18"/>
              </w:rPr>
              <w:t>86.137,16</w:t>
            </w:r>
          </w:p>
        </w:tc>
        <w:tc>
          <w:tcPr>
            <w:tcW w:w="700" w:type="dxa"/>
            <w:tcMar>
              <w:top w:w="0" w:type="dxa"/>
              <w:bottom w:w="0" w:type="dxa"/>
            </w:tcMar>
            <w:vAlign w:val="center"/>
          </w:tcPr>
          <w:p w14:paraId="29A147D1" w14:textId="77777777" w:rsidR="00355D0C" w:rsidRDefault="00000000">
            <w:pPr>
              <w:keepNext/>
              <w:keepLines/>
              <w:spacing w:after="0" w:line="240" w:lineRule="auto"/>
              <w:jc w:val="right"/>
            </w:pPr>
            <w:r>
              <w:rPr>
                <w:sz w:val="18"/>
              </w:rPr>
              <w:t>119,4</w:t>
            </w:r>
          </w:p>
        </w:tc>
      </w:tr>
    </w:tbl>
    <w:p w14:paraId="3DBE4743" w14:textId="77777777" w:rsidR="00355D0C" w:rsidRDefault="00355D0C">
      <w:pPr>
        <w:spacing w:after="0"/>
      </w:pPr>
    </w:p>
    <w:p w14:paraId="47C0A86F" w14:textId="77777777" w:rsidR="00355D0C" w:rsidRDefault="00000000">
      <w:r>
        <w:t>Rashodi poslovanja odnose se na rashode za zaposlene što uključuje plaće za dvoje zaposlenika, ostale rashode za zaposlene ( božićnicu, regres, dar za dijete te troškove prehrane) i  doprinose na plaće.</w:t>
      </w:r>
    </w:p>
    <w:p w14:paraId="450A9506" w14:textId="77777777" w:rsidR="00355D0C" w:rsidRDefault="00000000">
      <w:r>
        <w:t>Materijalni rashodi uključuju naknade troškova zaposlenima (putne troškove, stručno usavršavanje te seminare), rashode za materijal i energiju što uključuje troškove uredskog materijala, energiju, materijal za tekuće i investicijsko održavanje i sitni materijal.</w:t>
      </w:r>
    </w:p>
    <w:p w14:paraId="4203D3D5" w14:textId="77777777" w:rsidR="00355D0C" w:rsidRDefault="00000000">
      <w:r>
        <w:t>Rashodi za usluge odnose se na usluge telefona, poštanske usluge, usluge tekućeg i investicijskog održavanja, usluge promidžbe i informiranja, komunalne usluge, zakupnine i najamnine, licence, te računalne usluge.</w:t>
      </w:r>
    </w:p>
    <w:p w14:paraId="27E26540" w14:textId="77777777" w:rsidR="00355D0C" w:rsidRDefault="00000000">
      <w:r>
        <w:t>U rashode poslovanja također spadaju i financijski rashodi što uključuje negativne tečajne razlike zbog primjene valutne klauzule.</w:t>
      </w:r>
    </w:p>
    <w:p w14:paraId="33531E0B" w14:textId="77777777" w:rsidR="00355D0C" w:rsidRDefault="00355D0C"/>
    <w:p w14:paraId="16B46504" w14:textId="77777777" w:rsidR="00355D0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597D23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93F5D7"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4AF31A"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CF68E"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6B4B5A"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368427"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789873" w14:textId="77777777" w:rsidR="00355D0C" w:rsidRDefault="00000000">
            <w:pPr>
              <w:keepNext/>
              <w:keepLines/>
              <w:spacing w:after="0" w:line="240" w:lineRule="auto"/>
              <w:jc w:val="center"/>
            </w:pPr>
            <w:r>
              <w:rPr>
                <w:b/>
                <w:sz w:val="18"/>
              </w:rPr>
              <w:t>Indeks (%)</w:t>
            </w:r>
          </w:p>
        </w:tc>
      </w:tr>
      <w:tr w:rsidR="00355D0C" w14:paraId="5D006246" w14:textId="77777777">
        <w:tblPrEx>
          <w:tblCellMar>
            <w:top w:w="0" w:type="dxa"/>
            <w:bottom w:w="0" w:type="dxa"/>
          </w:tblCellMar>
        </w:tblPrEx>
        <w:trPr>
          <w:cantSplit/>
          <w:trHeight w:val="560"/>
        </w:trPr>
        <w:tc>
          <w:tcPr>
            <w:tcW w:w="700" w:type="dxa"/>
            <w:tcMar>
              <w:top w:w="0" w:type="dxa"/>
              <w:bottom w:w="0" w:type="dxa"/>
            </w:tcMar>
            <w:vAlign w:val="center"/>
          </w:tcPr>
          <w:p w14:paraId="30D3803C" w14:textId="77777777" w:rsidR="00355D0C" w:rsidRDefault="00000000">
            <w:pPr>
              <w:keepNext/>
              <w:keepLines/>
              <w:spacing w:after="0" w:line="240" w:lineRule="auto"/>
            </w:pPr>
            <w:r>
              <w:rPr>
                <w:sz w:val="18"/>
              </w:rPr>
              <w:t>311</w:t>
            </w:r>
          </w:p>
        </w:tc>
        <w:tc>
          <w:tcPr>
            <w:tcW w:w="3180" w:type="dxa"/>
            <w:tcMar>
              <w:top w:w="0" w:type="dxa"/>
              <w:bottom w:w="0" w:type="dxa"/>
            </w:tcMar>
            <w:vAlign w:val="center"/>
          </w:tcPr>
          <w:p w14:paraId="3CEB54F0" w14:textId="77777777" w:rsidR="00355D0C"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2B265E8B" w14:textId="77777777" w:rsidR="00355D0C" w:rsidRDefault="00000000">
            <w:pPr>
              <w:keepNext/>
              <w:keepLines/>
              <w:spacing w:after="0" w:line="240" w:lineRule="auto"/>
            </w:pPr>
            <w:r>
              <w:rPr>
                <w:sz w:val="18"/>
              </w:rPr>
              <w:t>311</w:t>
            </w:r>
          </w:p>
        </w:tc>
        <w:tc>
          <w:tcPr>
            <w:tcW w:w="1860" w:type="dxa"/>
            <w:tcMar>
              <w:top w:w="0" w:type="dxa"/>
              <w:bottom w:w="0" w:type="dxa"/>
            </w:tcMar>
            <w:vAlign w:val="center"/>
          </w:tcPr>
          <w:p w14:paraId="7A05CECA" w14:textId="77777777" w:rsidR="00355D0C" w:rsidRDefault="00000000">
            <w:pPr>
              <w:keepNext/>
              <w:keepLines/>
              <w:spacing w:after="0" w:line="240" w:lineRule="auto"/>
              <w:jc w:val="right"/>
            </w:pPr>
            <w:r>
              <w:rPr>
                <w:sz w:val="18"/>
              </w:rPr>
              <w:t>43.398,07</w:t>
            </w:r>
          </w:p>
        </w:tc>
        <w:tc>
          <w:tcPr>
            <w:tcW w:w="1860" w:type="dxa"/>
            <w:tcMar>
              <w:top w:w="0" w:type="dxa"/>
              <w:bottom w:w="0" w:type="dxa"/>
            </w:tcMar>
            <w:vAlign w:val="center"/>
          </w:tcPr>
          <w:p w14:paraId="4BDB027C" w14:textId="77777777" w:rsidR="00355D0C" w:rsidRDefault="00000000">
            <w:pPr>
              <w:keepNext/>
              <w:keepLines/>
              <w:spacing w:after="0" w:line="240" w:lineRule="auto"/>
              <w:jc w:val="right"/>
            </w:pPr>
            <w:r>
              <w:rPr>
                <w:sz w:val="18"/>
              </w:rPr>
              <w:t>54.804,02</w:t>
            </w:r>
          </w:p>
        </w:tc>
        <w:tc>
          <w:tcPr>
            <w:tcW w:w="700" w:type="dxa"/>
            <w:tcMar>
              <w:top w:w="0" w:type="dxa"/>
              <w:bottom w:w="0" w:type="dxa"/>
            </w:tcMar>
            <w:vAlign w:val="center"/>
          </w:tcPr>
          <w:p w14:paraId="2BFB267D" w14:textId="77777777" w:rsidR="00355D0C" w:rsidRDefault="00000000">
            <w:pPr>
              <w:keepNext/>
              <w:keepLines/>
              <w:spacing w:after="0" w:line="240" w:lineRule="auto"/>
              <w:jc w:val="right"/>
            </w:pPr>
            <w:r>
              <w:rPr>
                <w:sz w:val="18"/>
              </w:rPr>
              <w:t>126,3</w:t>
            </w:r>
          </w:p>
        </w:tc>
      </w:tr>
    </w:tbl>
    <w:p w14:paraId="72C7019A" w14:textId="77777777" w:rsidR="00355D0C" w:rsidRDefault="00355D0C">
      <w:pPr>
        <w:spacing w:after="0"/>
      </w:pPr>
    </w:p>
    <w:p w14:paraId="5795598B" w14:textId="77777777" w:rsidR="00355D0C" w:rsidRDefault="00000000">
      <w:r>
        <w:t>Plaća za dvoje zaposlenika koje su povećane u prosincu 2024. Povećanje koje je uslijedilo u prosincu 2024. godine. IV. izmjenama i dopunama Pravilnika o radu Agencije usklađena je osnovica sa osnovicom osnivača, dok su IV. izmjenama i dopunama Pravilnika o unutarnjem ustrojstvu i načinu rada Agencije izmijenjeni koeficijenti.</w:t>
      </w:r>
    </w:p>
    <w:p w14:paraId="17991938" w14:textId="77777777" w:rsidR="00355D0C" w:rsidRDefault="00355D0C"/>
    <w:p w14:paraId="67692626" w14:textId="77777777" w:rsidR="00355D0C"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3CF28A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E97179"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B2F77C"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D49A8"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8F844D"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D368BE"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663B03" w14:textId="77777777" w:rsidR="00355D0C" w:rsidRDefault="00000000">
            <w:pPr>
              <w:keepNext/>
              <w:keepLines/>
              <w:spacing w:after="0" w:line="240" w:lineRule="auto"/>
              <w:jc w:val="center"/>
            </w:pPr>
            <w:r>
              <w:rPr>
                <w:b/>
                <w:sz w:val="18"/>
              </w:rPr>
              <w:t>Indeks (%)</w:t>
            </w:r>
          </w:p>
        </w:tc>
      </w:tr>
      <w:tr w:rsidR="00355D0C" w14:paraId="526E38AE" w14:textId="77777777">
        <w:tblPrEx>
          <w:tblCellMar>
            <w:top w:w="0" w:type="dxa"/>
            <w:bottom w:w="0" w:type="dxa"/>
          </w:tblCellMar>
        </w:tblPrEx>
        <w:trPr>
          <w:cantSplit/>
          <w:trHeight w:val="560"/>
        </w:trPr>
        <w:tc>
          <w:tcPr>
            <w:tcW w:w="700" w:type="dxa"/>
            <w:tcMar>
              <w:top w:w="0" w:type="dxa"/>
              <w:bottom w:w="0" w:type="dxa"/>
            </w:tcMar>
            <w:vAlign w:val="center"/>
          </w:tcPr>
          <w:p w14:paraId="3FB7407D" w14:textId="77777777" w:rsidR="00355D0C" w:rsidRDefault="00000000">
            <w:pPr>
              <w:keepNext/>
              <w:keepLines/>
              <w:spacing w:after="0" w:line="240" w:lineRule="auto"/>
            </w:pPr>
            <w:r>
              <w:rPr>
                <w:sz w:val="18"/>
              </w:rPr>
              <w:t>312</w:t>
            </w:r>
          </w:p>
        </w:tc>
        <w:tc>
          <w:tcPr>
            <w:tcW w:w="3180" w:type="dxa"/>
            <w:tcMar>
              <w:top w:w="0" w:type="dxa"/>
              <w:bottom w:w="0" w:type="dxa"/>
            </w:tcMar>
            <w:vAlign w:val="center"/>
          </w:tcPr>
          <w:p w14:paraId="7431D0E7" w14:textId="77777777" w:rsidR="00355D0C"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3628116C" w14:textId="77777777" w:rsidR="00355D0C" w:rsidRDefault="00000000">
            <w:pPr>
              <w:keepNext/>
              <w:keepLines/>
              <w:spacing w:after="0" w:line="240" w:lineRule="auto"/>
            </w:pPr>
            <w:r>
              <w:rPr>
                <w:sz w:val="18"/>
              </w:rPr>
              <w:t>312</w:t>
            </w:r>
          </w:p>
        </w:tc>
        <w:tc>
          <w:tcPr>
            <w:tcW w:w="1860" w:type="dxa"/>
            <w:tcMar>
              <w:top w:w="0" w:type="dxa"/>
              <w:bottom w:w="0" w:type="dxa"/>
            </w:tcMar>
            <w:vAlign w:val="center"/>
          </w:tcPr>
          <w:p w14:paraId="3A313E77" w14:textId="77777777" w:rsidR="00355D0C" w:rsidRDefault="00000000">
            <w:pPr>
              <w:keepNext/>
              <w:keepLines/>
              <w:spacing w:after="0" w:line="240" w:lineRule="auto"/>
              <w:jc w:val="right"/>
            </w:pPr>
            <w:r>
              <w:rPr>
                <w:sz w:val="18"/>
              </w:rPr>
              <w:t>4.216,00</w:t>
            </w:r>
          </w:p>
        </w:tc>
        <w:tc>
          <w:tcPr>
            <w:tcW w:w="1860" w:type="dxa"/>
            <w:tcMar>
              <w:top w:w="0" w:type="dxa"/>
              <w:bottom w:w="0" w:type="dxa"/>
            </w:tcMar>
            <w:vAlign w:val="center"/>
          </w:tcPr>
          <w:p w14:paraId="0E363A18" w14:textId="77777777" w:rsidR="00355D0C" w:rsidRDefault="00000000">
            <w:pPr>
              <w:keepNext/>
              <w:keepLines/>
              <w:spacing w:after="0" w:line="240" w:lineRule="auto"/>
              <w:jc w:val="right"/>
            </w:pPr>
            <w:r>
              <w:rPr>
                <w:sz w:val="18"/>
              </w:rPr>
              <w:t>2.707,00</w:t>
            </w:r>
          </w:p>
        </w:tc>
        <w:tc>
          <w:tcPr>
            <w:tcW w:w="700" w:type="dxa"/>
            <w:tcMar>
              <w:top w:w="0" w:type="dxa"/>
              <w:bottom w:w="0" w:type="dxa"/>
            </w:tcMar>
            <w:vAlign w:val="center"/>
          </w:tcPr>
          <w:p w14:paraId="515F5C8C" w14:textId="77777777" w:rsidR="00355D0C" w:rsidRDefault="00000000">
            <w:pPr>
              <w:keepNext/>
              <w:keepLines/>
              <w:spacing w:after="0" w:line="240" w:lineRule="auto"/>
              <w:jc w:val="right"/>
            </w:pPr>
            <w:r>
              <w:rPr>
                <w:sz w:val="18"/>
              </w:rPr>
              <w:t>64,2</w:t>
            </w:r>
          </w:p>
        </w:tc>
      </w:tr>
    </w:tbl>
    <w:p w14:paraId="69815289" w14:textId="77777777" w:rsidR="00355D0C" w:rsidRDefault="00355D0C">
      <w:pPr>
        <w:spacing w:after="0"/>
      </w:pPr>
    </w:p>
    <w:p w14:paraId="21483E1E" w14:textId="77777777" w:rsidR="00355D0C" w:rsidRDefault="00000000">
      <w:r>
        <w:t>Uključuju božićnicu, dar za dijete, regres i prehranu koja je regulirana novim Pravilnikom o radu od 27. prosinca 2024. godine na 112. sjednici UV-a, stoga su navedeni rashodi znatno manji od istog izvještajnog razdoblja prošle godine.</w:t>
      </w:r>
    </w:p>
    <w:p w14:paraId="6B83D166" w14:textId="77777777" w:rsidR="00355D0C" w:rsidRDefault="00355D0C"/>
    <w:p w14:paraId="3B05215A" w14:textId="77777777" w:rsidR="00355D0C"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320689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DD57BB"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7B7934"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E57251"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5F70A1"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70BD36"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178999" w14:textId="77777777" w:rsidR="00355D0C" w:rsidRDefault="00000000">
            <w:pPr>
              <w:keepNext/>
              <w:keepLines/>
              <w:spacing w:after="0" w:line="240" w:lineRule="auto"/>
              <w:jc w:val="center"/>
            </w:pPr>
            <w:r>
              <w:rPr>
                <w:b/>
                <w:sz w:val="18"/>
              </w:rPr>
              <w:t>Indeks (%)</w:t>
            </w:r>
          </w:p>
        </w:tc>
      </w:tr>
      <w:tr w:rsidR="00355D0C" w14:paraId="2B3CA792" w14:textId="77777777">
        <w:tblPrEx>
          <w:tblCellMar>
            <w:top w:w="0" w:type="dxa"/>
            <w:bottom w:w="0" w:type="dxa"/>
          </w:tblCellMar>
        </w:tblPrEx>
        <w:trPr>
          <w:cantSplit/>
          <w:trHeight w:val="560"/>
        </w:trPr>
        <w:tc>
          <w:tcPr>
            <w:tcW w:w="700" w:type="dxa"/>
            <w:tcMar>
              <w:top w:w="0" w:type="dxa"/>
              <w:bottom w:w="0" w:type="dxa"/>
            </w:tcMar>
            <w:vAlign w:val="center"/>
          </w:tcPr>
          <w:p w14:paraId="3FCD2257" w14:textId="77777777" w:rsidR="00355D0C" w:rsidRDefault="00000000">
            <w:pPr>
              <w:keepNext/>
              <w:keepLines/>
              <w:spacing w:after="0" w:line="240" w:lineRule="auto"/>
            </w:pPr>
            <w:r>
              <w:rPr>
                <w:sz w:val="18"/>
              </w:rPr>
              <w:t>313</w:t>
            </w:r>
          </w:p>
        </w:tc>
        <w:tc>
          <w:tcPr>
            <w:tcW w:w="3180" w:type="dxa"/>
            <w:tcMar>
              <w:top w:w="0" w:type="dxa"/>
              <w:bottom w:w="0" w:type="dxa"/>
            </w:tcMar>
            <w:vAlign w:val="center"/>
          </w:tcPr>
          <w:p w14:paraId="3BAB2A43" w14:textId="77777777" w:rsidR="00355D0C"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30813132" w14:textId="77777777" w:rsidR="00355D0C" w:rsidRDefault="00000000">
            <w:pPr>
              <w:keepNext/>
              <w:keepLines/>
              <w:spacing w:after="0" w:line="240" w:lineRule="auto"/>
            </w:pPr>
            <w:r>
              <w:rPr>
                <w:sz w:val="18"/>
              </w:rPr>
              <w:t>313</w:t>
            </w:r>
          </w:p>
        </w:tc>
        <w:tc>
          <w:tcPr>
            <w:tcW w:w="1860" w:type="dxa"/>
            <w:tcMar>
              <w:top w:w="0" w:type="dxa"/>
              <w:bottom w:w="0" w:type="dxa"/>
            </w:tcMar>
            <w:vAlign w:val="center"/>
          </w:tcPr>
          <w:p w14:paraId="6749115F" w14:textId="77777777" w:rsidR="00355D0C" w:rsidRDefault="00000000">
            <w:pPr>
              <w:keepNext/>
              <w:keepLines/>
              <w:spacing w:after="0" w:line="240" w:lineRule="auto"/>
              <w:jc w:val="right"/>
            </w:pPr>
            <w:r>
              <w:rPr>
                <w:sz w:val="18"/>
              </w:rPr>
              <w:t>7.160,72</w:t>
            </w:r>
          </w:p>
        </w:tc>
        <w:tc>
          <w:tcPr>
            <w:tcW w:w="1860" w:type="dxa"/>
            <w:tcMar>
              <w:top w:w="0" w:type="dxa"/>
              <w:bottom w:w="0" w:type="dxa"/>
            </w:tcMar>
            <w:vAlign w:val="center"/>
          </w:tcPr>
          <w:p w14:paraId="792C4AEA" w14:textId="77777777" w:rsidR="00355D0C" w:rsidRDefault="00000000">
            <w:pPr>
              <w:keepNext/>
              <w:keepLines/>
              <w:spacing w:after="0" w:line="240" w:lineRule="auto"/>
              <w:jc w:val="right"/>
            </w:pPr>
            <w:r>
              <w:rPr>
                <w:sz w:val="18"/>
              </w:rPr>
              <w:t>9.042,72</w:t>
            </w:r>
          </w:p>
        </w:tc>
        <w:tc>
          <w:tcPr>
            <w:tcW w:w="700" w:type="dxa"/>
            <w:tcMar>
              <w:top w:w="0" w:type="dxa"/>
              <w:bottom w:w="0" w:type="dxa"/>
            </w:tcMar>
            <w:vAlign w:val="center"/>
          </w:tcPr>
          <w:p w14:paraId="3342F84E" w14:textId="77777777" w:rsidR="00355D0C" w:rsidRDefault="00000000">
            <w:pPr>
              <w:keepNext/>
              <w:keepLines/>
              <w:spacing w:after="0" w:line="240" w:lineRule="auto"/>
              <w:jc w:val="right"/>
            </w:pPr>
            <w:r>
              <w:rPr>
                <w:sz w:val="18"/>
              </w:rPr>
              <w:t>126,3</w:t>
            </w:r>
          </w:p>
        </w:tc>
      </w:tr>
    </w:tbl>
    <w:p w14:paraId="50F560B5" w14:textId="77777777" w:rsidR="00355D0C" w:rsidRDefault="00355D0C">
      <w:pPr>
        <w:spacing w:after="0"/>
      </w:pPr>
    </w:p>
    <w:p w14:paraId="708BE355" w14:textId="77777777" w:rsidR="00355D0C" w:rsidRDefault="00000000">
      <w:r>
        <w:t>Povećani s obzirom na povećanje koje je uslijedilo u prosincu 2024. godine. IV. izmjenama i dopunama Pravilnika o radu Agencije usklađena je osnovica sa osnovicom osnivača, dok su IV. izmjenama i dopunama Pravilnika o unutarnjem ustrojstvu i načinu rada Agencije izmijenjeni koeficijenti.</w:t>
      </w:r>
    </w:p>
    <w:p w14:paraId="419D1D14" w14:textId="77777777" w:rsidR="00355D0C" w:rsidRDefault="00355D0C"/>
    <w:p w14:paraId="43716301" w14:textId="77777777" w:rsidR="00355D0C"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4B6361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EFF5ED"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BA79C2"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DE00A4"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CB3C09"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CB28C4"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E7DF04" w14:textId="77777777" w:rsidR="00355D0C" w:rsidRDefault="00000000">
            <w:pPr>
              <w:keepNext/>
              <w:keepLines/>
              <w:spacing w:after="0" w:line="240" w:lineRule="auto"/>
              <w:jc w:val="center"/>
            </w:pPr>
            <w:r>
              <w:rPr>
                <w:b/>
                <w:sz w:val="18"/>
              </w:rPr>
              <w:t>Indeks (%)</w:t>
            </w:r>
          </w:p>
        </w:tc>
      </w:tr>
      <w:tr w:rsidR="00355D0C" w14:paraId="1DB63066" w14:textId="77777777">
        <w:tblPrEx>
          <w:tblCellMar>
            <w:top w:w="0" w:type="dxa"/>
            <w:bottom w:w="0" w:type="dxa"/>
          </w:tblCellMar>
        </w:tblPrEx>
        <w:trPr>
          <w:cantSplit/>
          <w:trHeight w:val="560"/>
        </w:trPr>
        <w:tc>
          <w:tcPr>
            <w:tcW w:w="700" w:type="dxa"/>
            <w:tcMar>
              <w:top w:w="0" w:type="dxa"/>
              <w:bottom w:w="0" w:type="dxa"/>
            </w:tcMar>
            <w:vAlign w:val="center"/>
          </w:tcPr>
          <w:p w14:paraId="3E8D91A6" w14:textId="77777777" w:rsidR="00355D0C" w:rsidRDefault="00000000">
            <w:pPr>
              <w:keepNext/>
              <w:keepLines/>
              <w:spacing w:after="0" w:line="240" w:lineRule="auto"/>
            </w:pPr>
            <w:r>
              <w:rPr>
                <w:sz w:val="18"/>
              </w:rPr>
              <w:t>32</w:t>
            </w:r>
          </w:p>
        </w:tc>
        <w:tc>
          <w:tcPr>
            <w:tcW w:w="3180" w:type="dxa"/>
            <w:tcMar>
              <w:top w:w="0" w:type="dxa"/>
              <w:bottom w:w="0" w:type="dxa"/>
            </w:tcMar>
            <w:vAlign w:val="center"/>
          </w:tcPr>
          <w:p w14:paraId="581953D0" w14:textId="77777777" w:rsidR="00355D0C"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EB1297A" w14:textId="77777777" w:rsidR="00355D0C" w:rsidRDefault="00000000">
            <w:pPr>
              <w:keepNext/>
              <w:keepLines/>
              <w:spacing w:after="0" w:line="240" w:lineRule="auto"/>
            </w:pPr>
            <w:r>
              <w:rPr>
                <w:sz w:val="18"/>
              </w:rPr>
              <w:t>32</w:t>
            </w:r>
          </w:p>
        </w:tc>
        <w:tc>
          <w:tcPr>
            <w:tcW w:w="1860" w:type="dxa"/>
            <w:tcMar>
              <w:top w:w="0" w:type="dxa"/>
              <w:bottom w:w="0" w:type="dxa"/>
            </w:tcMar>
            <w:vAlign w:val="center"/>
          </w:tcPr>
          <w:p w14:paraId="4D912222" w14:textId="77777777" w:rsidR="00355D0C" w:rsidRDefault="00000000">
            <w:pPr>
              <w:keepNext/>
              <w:keepLines/>
              <w:spacing w:after="0" w:line="240" w:lineRule="auto"/>
              <w:jc w:val="right"/>
            </w:pPr>
            <w:r>
              <w:rPr>
                <w:sz w:val="18"/>
              </w:rPr>
              <w:t>15.281,27</w:t>
            </w:r>
          </w:p>
        </w:tc>
        <w:tc>
          <w:tcPr>
            <w:tcW w:w="1860" w:type="dxa"/>
            <w:tcMar>
              <w:top w:w="0" w:type="dxa"/>
              <w:bottom w:w="0" w:type="dxa"/>
            </w:tcMar>
            <w:vAlign w:val="center"/>
          </w:tcPr>
          <w:p w14:paraId="53D75302" w14:textId="77777777" w:rsidR="00355D0C" w:rsidRDefault="00000000">
            <w:pPr>
              <w:keepNext/>
              <w:keepLines/>
              <w:spacing w:after="0" w:line="240" w:lineRule="auto"/>
              <w:jc w:val="right"/>
            </w:pPr>
            <w:r>
              <w:rPr>
                <w:sz w:val="18"/>
              </w:rPr>
              <w:t>19.536,70</w:t>
            </w:r>
          </w:p>
        </w:tc>
        <w:tc>
          <w:tcPr>
            <w:tcW w:w="700" w:type="dxa"/>
            <w:tcMar>
              <w:top w:w="0" w:type="dxa"/>
              <w:bottom w:w="0" w:type="dxa"/>
            </w:tcMar>
            <w:vAlign w:val="center"/>
          </w:tcPr>
          <w:p w14:paraId="069859B5" w14:textId="77777777" w:rsidR="00355D0C" w:rsidRDefault="00000000">
            <w:pPr>
              <w:keepNext/>
              <w:keepLines/>
              <w:spacing w:after="0" w:line="240" w:lineRule="auto"/>
              <w:jc w:val="right"/>
            </w:pPr>
            <w:r>
              <w:rPr>
                <w:sz w:val="18"/>
              </w:rPr>
              <w:t>127,8</w:t>
            </w:r>
          </w:p>
        </w:tc>
      </w:tr>
    </w:tbl>
    <w:p w14:paraId="716B8302" w14:textId="77777777" w:rsidR="00355D0C" w:rsidRDefault="00355D0C">
      <w:pPr>
        <w:spacing w:after="0"/>
      </w:pPr>
    </w:p>
    <w:p w14:paraId="448DC848" w14:textId="77777777" w:rsidR="00355D0C" w:rsidRDefault="00000000">
      <w:r>
        <w:t>Uključuje naknade troškova zaposlenima, rashode za materijal i energiju, rashode za usluge, ostale nespomenute rashode poslovanja i ostale financijske rashode.</w:t>
      </w:r>
    </w:p>
    <w:p w14:paraId="0E494302" w14:textId="77777777" w:rsidR="00355D0C" w:rsidRDefault="00355D0C"/>
    <w:p w14:paraId="2B9C56D4" w14:textId="77777777" w:rsidR="00355D0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26AA50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BBD836"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62573F"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B9FE9B"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693761"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7E717C"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D47571" w14:textId="77777777" w:rsidR="00355D0C" w:rsidRDefault="00000000">
            <w:pPr>
              <w:keepNext/>
              <w:keepLines/>
              <w:spacing w:after="0" w:line="240" w:lineRule="auto"/>
              <w:jc w:val="center"/>
            </w:pPr>
            <w:r>
              <w:rPr>
                <w:b/>
                <w:sz w:val="18"/>
              </w:rPr>
              <w:t>Indeks (%)</w:t>
            </w:r>
          </w:p>
        </w:tc>
      </w:tr>
      <w:tr w:rsidR="00355D0C" w14:paraId="022E922F" w14:textId="77777777">
        <w:tblPrEx>
          <w:tblCellMar>
            <w:top w:w="0" w:type="dxa"/>
            <w:bottom w:w="0" w:type="dxa"/>
          </w:tblCellMar>
        </w:tblPrEx>
        <w:trPr>
          <w:cantSplit/>
          <w:trHeight w:val="560"/>
        </w:trPr>
        <w:tc>
          <w:tcPr>
            <w:tcW w:w="700" w:type="dxa"/>
            <w:tcMar>
              <w:top w:w="0" w:type="dxa"/>
              <w:bottom w:w="0" w:type="dxa"/>
            </w:tcMar>
            <w:vAlign w:val="center"/>
          </w:tcPr>
          <w:p w14:paraId="6ED5D681" w14:textId="77777777" w:rsidR="00355D0C" w:rsidRDefault="00000000">
            <w:pPr>
              <w:keepNext/>
              <w:keepLines/>
              <w:spacing w:after="0" w:line="240" w:lineRule="auto"/>
            </w:pPr>
            <w:r>
              <w:rPr>
                <w:sz w:val="18"/>
              </w:rPr>
              <w:t>321</w:t>
            </w:r>
          </w:p>
        </w:tc>
        <w:tc>
          <w:tcPr>
            <w:tcW w:w="3180" w:type="dxa"/>
            <w:tcMar>
              <w:top w:w="0" w:type="dxa"/>
              <w:bottom w:w="0" w:type="dxa"/>
            </w:tcMar>
            <w:vAlign w:val="center"/>
          </w:tcPr>
          <w:p w14:paraId="1C930D99" w14:textId="77777777" w:rsidR="00355D0C"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507D6E70" w14:textId="77777777" w:rsidR="00355D0C" w:rsidRDefault="00000000">
            <w:pPr>
              <w:keepNext/>
              <w:keepLines/>
              <w:spacing w:after="0" w:line="240" w:lineRule="auto"/>
            </w:pPr>
            <w:r>
              <w:rPr>
                <w:sz w:val="18"/>
              </w:rPr>
              <w:t>321</w:t>
            </w:r>
          </w:p>
        </w:tc>
        <w:tc>
          <w:tcPr>
            <w:tcW w:w="1860" w:type="dxa"/>
            <w:tcMar>
              <w:top w:w="0" w:type="dxa"/>
              <w:bottom w:w="0" w:type="dxa"/>
            </w:tcMar>
            <w:vAlign w:val="center"/>
          </w:tcPr>
          <w:p w14:paraId="77029FF1" w14:textId="77777777" w:rsidR="00355D0C" w:rsidRDefault="00000000">
            <w:pPr>
              <w:keepNext/>
              <w:keepLines/>
              <w:spacing w:after="0" w:line="240" w:lineRule="auto"/>
              <w:jc w:val="right"/>
            </w:pPr>
            <w:r>
              <w:rPr>
                <w:sz w:val="18"/>
              </w:rPr>
              <w:t>1.699,12</w:t>
            </w:r>
          </w:p>
        </w:tc>
        <w:tc>
          <w:tcPr>
            <w:tcW w:w="1860" w:type="dxa"/>
            <w:tcMar>
              <w:top w:w="0" w:type="dxa"/>
              <w:bottom w:w="0" w:type="dxa"/>
            </w:tcMar>
            <w:vAlign w:val="center"/>
          </w:tcPr>
          <w:p w14:paraId="3ABED7EA" w14:textId="77777777" w:rsidR="00355D0C" w:rsidRDefault="00000000">
            <w:pPr>
              <w:keepNext/>
              <w:keepLines/>
              <w:spacing w:after="0" w:line="240" w:lineRule="auto"/>
              <w:jc w:val="right"/>
            </w:pPr>
            <w:r>
              <w:rPr>
                <w:sz w:val="18"/>
              </w:rPr>
              <w:t>2.064,81</w:t>
            </w:r>
          </w:p>
        </w:tc>
        <w:tc>
          <w:tcPr>
            <w:tcW w:w="700" w:type="dxa"/>
            <w:tcMar>
              <w:top w:w="0" w:type="dxa"/>
              <w:bottom w:w="0" w:type="dxa"/>
            </w:tcMar>
            <w:vAlign w:val="center"/>
          </w:tcPr>
          <w:p w14:paraId="466DED1F" w14:textId="77777777" w:rsidR="00355D0C" w:rsidRDefault="00000000">
            <w:pPr>
              <w:keepNext/>
              <w:keepLines/>
              <w:spacing w:after="0" w:line="240" w:lineRule="auto"/>
              <w:jc w:val="right"/>
            </w:pPr>
            <w:r>
              <w:rPr>
                <w:sz w:val="18"/>
              </w:rPr>
              <w:t>121,5</w:t>
            </w:r>
          </w:p>
        </w:tc>
      </w:tr>
    </w:tbl>
    <w:p w14:paraId="4FAAD955" w14:textId="77777777" w:rsidR="00355D0C" w:rsidRDefault="00355D0C">
      <w:pPr>
        <w:spacing w:after="0"/>
      </w:pPr>
    </w:p>
    <w:p w14:paraId="68607DED" w14:textId="77777777" w:rsidR="00355D0C" w:rsidRDefault="00000000">
      <w:r>
        <w:t>Ovi rashodi su povećani s obzirom na isto razdoblje prošle godine zbog održavanja nekoliko webinara i seminara tijekom godine.</w:t>
      </w:r>
    </w:p>
    <w:p w14:paraId="58CBDB17" w14:textId="77777777" w:rsidR="00355D0C" w:rsidRDefault="00355D0C"/>
    <w:p w14:paraId="1FA0F413" w14:textId="77777777" w:rsidR="00355D0C"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130800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C033E5"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93E4D4"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BE96F8"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B28EF8"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23A8FE"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16FD81" w14:textId="77777777" w:rsidR="00355D0C" w:rsidRDefault="00000000">
            <w:pPr>
              <w:keepNext/>
              <w:keepLines/>
              <w:spacing w:after="0" w:line="240" w:lineRule="auto"/>
              <w:jc w:val="center"/>
            </w:pPr>
            <w:r>
              <w:rPr>
                <w:b/>
                <w:sz w:val="18"/>
              </w:rPr>
              <w:t>Indeks (%)</w:t>
            </w:r>
          </w:p>
        </w:tc>
      </w:tr>
      <w:tr w:rsidR="00355D0C" w14:paraId="7CFEF1EE" w14:textId="77777777">
        <w:tblPrEx>
          <w:tblCellMar>
            <w:top w:w="0" w:type="dxa"/>
            <w:bottom w:w="0" w:type="dxa"/>
          </w:tblCellMar>
        </w:tblPrEx>
        <w:trPr>
          <w:cantSplit/>
          <w:trHeight w:val="560"/>
        </w:trPr>
        <w:tc>
          <w:tcPr>
            <w:tcW w:w="700" w:type="dxa"/>
            <w:tcMar>
              <w:top w:w="0" w:type="dxa"/>
              <w:bottom w:w="0" w:type="dxa"/>
            </w:tcMar>
            <w:vAlign w:val="center"/>
          </w:tcPr>
          <w:p w14:paraId="3509EE06" w14:textId="77777777" w:rsidR="00355D0C" w:rsidRDefault="00000000">
            <w:pPr>
              <w:keepNext/>
              <w:keepLines/>
              <w:spacing w:after="0" w:line="240" w:lineRule="auto"/>
            </w:pPr>
            <w:r>
              <w:rPr>
                <w:sz w:val="18"/>
              </w:rPr>
              <w:t>3299</w:t>
            </w:r>
          </w:p>
        </w:tc>
        <w:tc>
          <w:tcPr>
            <w:tcW w:w="3180" w:type="dxa"/>
            <w:tcMar>
              <w:top w:w="0" w:type="dxa"/>
              <w:bottom w:w="0" w:type="dxa"/>
            </w:tcMar>
            <w:vAlign w:val="center"/>
          </w:tcPr>
          <w:p w14:paraId="58FD3CFC" w14:textId="77777777" w:rsidR="00355D0C"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06198377" w14:textId="77777777" w:rsidR="00355D0C" w:rsidRDefault="00000000">
            <w:pPr>
              <w:keepNext/>
              <w:keepLines/>
              <w:spacing w:after="0" w:line="240" w:lineRule="auto"/>
            </w:pPr>
            <w:r>
              <w:rPr>
                <w:sz w:val="18"/>
              </w:rPr>
              <w:t>3299</w:t>
            </w:r>
          </w:p>
        </w:tc>
        <w:tc>
          <w:tcPr>
            <w:tcW w:w="1860" w:type="dxa"/>
            <w:tcMar>
              <w:top w:w="0" w:type="dxa"/>
              <w:bottom w:w="0" w:type="dxa"/>
            </w:tcMar>
            <w:vAlign w:val="center"/>
          </w:tcPr>
          <w:p w14:paraId="1BD51FA2" w14:textId="77777777" w:rsidR="00355D0C" w:rsidRDefault="00000000">
            <w:pPr>
              <w:keepNext/>
              <w:keepLines/>
              <w:spacing w:after="0" w:line="240" w:lineRule="auto"/>
              <w:jc w:val="right"/>
            </w:pPr>
            <w:r>
              <w:rPr>
                <w:sz w:val="18"/>
              </w:rPr>
              <w:t>0,00</w:t>
            </w:r>
          </w:p>
        </w:tc>
        <w:tc>
          <w:tcPr>
            <w:tcW w:w="1860" w:type="dxa"/>
            <w:tcMar>
              <w:top w:w="0" w:type="dxa"/>
              <w:bottom w:w="0" w:type="dxa"/>
            </w:tcMar>
            <w:vAlign w:val="center"/>
          </w:tcPr>
          <w:p w14:paraId="5A2B548E" w14:textId="77777777" w:rsidR="00355D0C" w:rsidRDefault="00000000">
            <w:pPr>
              <w:keepNext/>
              <w:keepLines/>
              <w:spacing w:after="0" w:line="240" w:lineRule="auto"/>
              <w:jc w:val="right"/>
            </w:pPr>
            <w:r>
              <w:rPr>
                <w:sz w:val="18"/>
              </w:rPr>
              <w:t>4.364,39</w:t>
            </w:r>
          </w:p>
        </w:tc>
        <w:tc>
          <w:tcPr>
            <w:tcW w:w="700" w:type="dxa"/>
            <w:tcMar>
              <w:top w:w="0" w:type="dxa"/>
              <w:bottom w:w="0" w:type="dxa"/>
            </w:tcMar>
            <w:vAlign w:val="center"/>
          </w:tcPr>
          <w:p w14:paraId="4B57A919" w14:textId="77777777" w:rsidR="00355D0C" w:rsidRDefault="00000000">
            <w:pPr>
              <w:keepNext/>
              <w:keepLines/>
              <w:spacing w:after="0" w:line="240" w:lineRule="auto"/>
              <w:jc w:val="right"/>
            </w:pPr>
            <w:r>
              <w:rPr>
                <w:sz w:val="18"/>
              </w:rPr>
              <w:t>-</w:t>
            </w:r>
          </w:p>
        </w:tc>
      </w:tr>
    </w:tbl>
    <w:p w14:paraId="5B942D19" w14:textId="77777777" w:rsidR="00355D0C" w:rsidRDefault="00355D0C">
      <w:pPr>
        <w:spacing w:after="0"/>
      </w:pPr>
    </w:p>
    <w:p w14:paraId="5E92F8D0" w14:textId="77777777" w:rsidR="00355D0C" w:rsidRDefault="00000000">
      <w:r>
        <w:t>U knjiženjima glavnice III. obroka kupaca za otplatu stanova potrebno je bilo stornirati dio PDV-a koji se nalazi u III. obroku, stoga otpisani PDV prema odredbi čl.229 st.4. Pravilnika treba teretiti račun ostalih rashoda (32999).</w:t>
      </w:r>
    </w:p>
    <w:p w14:paraId="47603082" w14:textId="77777777" w:rsidR="00355D0C" w:rsidRDefault="00355D0C"/>
    <w:p w14:paraId="5031C91C" w14:textId="77777777" w:rsidR="00355D0C"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60A410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FD27DE"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EF2A52"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3747E2"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CD7681"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47FEB1"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029F3F" w14:textId="77777777" w:rsidR="00355D0C" w:rsidRDefault="00000000">
            <w:pPr>
              <w:keepNext/>
              <w:keepLines/>
              <w:spacing w:after="0" w:line="240" w:lineRule="auto"/>
              <w:jc w:val="center"/>
            </w:pPr>
            <w:r>
              <w:rPr>
                <w:b/>
                <w:sz w:val="18"/>
              </w:rPr>
              <w:t>Indeks (%)</w:t>
            </w:r>
          </w:p>
        </w:tc>
      </w:tr>
      <w:tr w:rsidR="00355D0C" w14:paraId="5460BED3" w14:textId="77777777">
        <w:tblPrEx>
          <w:tblCellMar>
            <w:top w:w="0" w:type="dxa"/>
            <w:bottom w:w="0" w:type="dxa"/>
          </w:tblCellMar>
        </w:tblPrEx>
        <w:trPr>
          <w:cantSplit/>
          <w:trHeight w:val="560"/>
        </w:trPr>
        <w:tc>
          <w:tcPr>
            <w:tcW w:w="700" w:type="dxa"/>
            <w:tcMar>
              <w:top w:w="0" w:type="dxa"/>
              <w:bottom w:w="0" w:type="dxa"/>
            </w:tcMar>
            <w:vAlign w:val="center"/>
          </w:tcPr>
          <w:p w14:paraId="111F8534" w14:textId="77777777" w:rsidR="00355D0C" w:rsidRDefault="00000000">
            <w:pPr>
              <w:keepNext/>
              <w:keepLines/>
              <w:spacing w:after="0" w:line="240" w:lineRule="auto"/>
            </w:pPr>
            <w:r>
              <w:rPr>
                <w:sz w:val="18"/>
              </w:rPr>
              <w:t>34</w:t>
            </w:r>
          </w:p>
        </w:tc>
        <w:tc>
          <w:tcPr>
            <w:tcW w:w="3180" w:type="dxa"/>
            <w:tcMar>
              <w:top w:w="0" w:type="dxa"/>
              <w:bottom w:w="0" w:type="dxa"/>
            </w:tcMar>
            <w:vAlign w:val="center"/>
          </w:tcPr>
          <w:p w14:paraId="0145C7A7" w14:textId="77777777" w:rsidR="00355D0C"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6D090823" w14:textId="77777777" w:rsidR="00355D0C" w:rsidRDefault="00000000">
            <w:pPr>
              <w:keepNext/>
              <w:keepLines/>
              <w:spacing w:after="0" w:line="240" w:lineRule="auto"/>
            </w:pPr>
            <w:r>
              <w:rPr>
                <w:sz w:val="18"/>
              </w:rPr>
              <w:t>34</w:t>
            </w:r>
          </w:p>
        </w:tc>
        <w:tc>
          <w:tcPr>
            <w:tcW w:w="1860" w:type="dxa"/>
            <w:tcMar>
              <w:top w:w="0" w:type="dxa"/>
              <w:bottom w:w="0" w:type="dxa"/>
            </w:tcMar>
            <w:vAlign w:val="center"/>
          </w:tcPr>
          <w:p w14:paraId="0E8A28F2" w14:textId="77777777" w:rsidR="00355D0C" w:rsidRDefault="00000000">
            <w:pPr>
              <w:keepNext/>
              <w:keepLines/>
              <w:spacing w:after="0" w:line="240" w:lineRule="auto"/>
              <w:jc w:val="right"/>
            </w:pPr>
            <w:r>
              <w:rPr>
                <w:sz w:val="18"/>
              </w:rPr>
              <w:t>1.702,38</w:t>
            </w:r>
          </w:p>
        </w:tc>
        <w:tc>
          <w:tcPr>
            <w:tcW w:w="1860" w:type="dxa"/>
            <w:tcMar>
              <w:top w:w="0" w:type="dxa"/>
              <w:bottom w:w="0" w:type="dxa"/>
            </w:tcMar>
            <w:vAlign w:val="center"/>
          </w:tcPr>
          <w:p w14:paraId="65517F17" w14:textId="77777777" w:rsidR="00355D0C" w:rsidRDefault="00000000">
            <w:pPr>
              <w:keepNext/>
              <w:keepLines/>
              <w:spacing w:after="0" w:line="240" w:lineRule="auto"/>
              <w:jc w:val="right"/>
            </w:pPr>
            <w:r>
              <w:rPr>
                <w:sz w:val="18"/>
              </w:rPr>
              <w:t>46,72</w:t>
            </w:r>
          </w:p>
        </w:tc>
        <w:tc>
          <w:tcPr>
            <w:tcW w:w="700" w:type="dxa"/>
            <w:tcMar>
              <w:top w:w="0" w:type="dxa"/>
              <w:bottom w:w="0" w:type="dxa"/>
            </w:tcMar>
            <w:vAlign w:val="center"/>
          </w:tcPr>
          <w:p w14:paraId="02857185" w14:textId="77777777" w:rsidR="00355D0C" w:rsidRDefault="00000000">
            <w:pPr>
              <w:keepNext/>
              <w:keepLines/>
              <w:spacing w:after="0" w:line="240" w:lineRule="auto"/>
              <w:jc w:val="right"/>
            </w:pPr>
            <w:r>
              <w:rPr>
                <w:sz w:val="18"/>
              </w:rPr>
              <w:t>2,7</w:t>
            </w:r>
          </w:p>
        </w:tc>
      </w:tr>
    </w:tbl>
    <w:p w14:paraId="1E8597BF" w14:textId="77777777" w:rsidR="00355D0C" w:rsidRDefault="00355D0C">
      <w:pPr>
        <w:spacing w:after="0"/>
      </w:pPr>
    </w:p>
    <w:p w14:paraId="061B44DF" w14:textId="77777777" w:rsidR="00355D0C" w:rsidRDefault="00000000">
      <w:r>
        <w:t>Ovi rashodi uključuju negativne tečajne razlike koje su nastale nakon otplate III. obroka kupaca koji otplaćuju stanove na više godina, a u protekloj godini otplaćen je samo jedan stan u cjelosti.</w:t>
      </w:r>
    </w:p>
    <w:p w14:paraId="5F2DC141" w14:textId="77777777" w:rsidR="00355D0C" w:rsidRDefault="00355D0C"/>
    <w:p w14:paraId="795BB4D3" w14:textId="77777777" w:rsidR="00355D0C"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28DA6A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34F72A"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FAF17A"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0ED2C1"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B7EC23"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EAD322"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B27FB8" w14:textId="77777777" w:rsidR="00355D0C" w:rsidRDefault="00000000">
            <w:pPr>
              <w:keepNext/>
              <w:keepLines/>
              <w:spacing w:after="0" w:line="240" w:lineRule="auto"/>
              <w:jc w:val="center"/>
            </w:pPr>
            <w:r>
              <w:rPr>
                <w:b/>
                <w:sz w:val="18"/>
              </w:rPr>
              <w:t>Indeks (%)</w:t>
            </w:r>
          </w:p>
        </w:tc>
      </w:tr>
      <w:tr w:rsidR="00355D0C" w14:paraId="4B4640FB" w14:textId="77777777">
        <w:tblPrEx>
          <w:tblCellMar>
            <w:top w:w="0" w:type="dxa"/>
            <w:bottom w:w="0" w:type="dxa"/>
          </w:tblCellMar>
        </w:tblPrEx>
        <w:trPr>
          <w:cantSplit/>
          <w:trHeight w:val="560"/>
        </w:trPr>
        <w:tc>
          <w:tcPr>
            <w:tcW w:w="700" w:type="dxa"/>
            <w:tcMar>
              <w:top w:w="0" w:type="dxa"/>
              <w:bottom w:w="0" w:type="dxa"/>
            </w:tcMar>
            <w:vAlign w:val="center"/>
          </w:tcPr>
          <w:p w14:paraId="5E325E85" w14:textId="77777777" w:rsidR="00355D0C" w:rsidRDefault="00000000">
            <w:pPr>
              <w:keepNext/>
              <w:keepLines/>
              <w:spacing w:after="0" w:line="240" w:lineRule="auto"/>
            </w:pPr>
            <w:r>
              <w:rPr>
                <w:sz w:val="18"/>
              </w:rPr>
              <w:t>38</w:t>
            </w:r>
          </w:p>
        </w:tc>
        <w:tc>
          <w:tcPr>
            <w:tcW w:w="3180" w:type="dxa"/>
            <w:tcMar>
              <w:top w:w="0" w:type="dxa"/>
              <w:bottom w:w="0" w:type="dxa"/>
            </w:tcMar>
            <w:vAlign w:val="center"/>
          </w:tcPr>
          <w:p w14:paraId="4D60FC9E" w14:textId="77777777" w:rsidR="00355D0C"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1CC80D3F" w14:textId="77777777" w:rsidR="00355D0C" w:rsidRDefault="00000000">
            <w:pPr>
              <w:keepNext/>
              <w:keepLines/>
              <w:spacing w:after="0" w:line="240" w:lineRule="auto"/>
            </w:pPr>
            <w:r>
              <w:rPr>
                <w:sz w:val="18"/>
              </w:rPr>
              <w:t>38</w:t>
            </w:r>
          </w:p>
        </w:tc>
        <w:tc>
          <w:tcPr>
            <w:tcW w:w="1860" w:type="dxa"/>
            <w:tcMar>
              <w:top w:w="0" w:type="dxa"/>
              <w:bottom w:w="0" w:type="dxa"/>
            </w:tcMar>
            <w:vAlign w:val="center"/>
          </w:tcPr>
          <w:p w14:paraId="41B0E72E" w14:textId="77777777" w:rsidR="00355D0C" w:rsidRDefault="00000000">
            <w:pPr>
              <w:keepNext/>
              <w:keepLines/>
              <w:spacing w:after="0" w:line="240" w:lineRule="auto"/>
              <w:jc w:val="right"/>
            </w:pPr>
            <w:r>
              <w:rPr>
                <w:sz w:val="18"/>
              </w:rPr>
              <w:t>380,55</w:t>
            </w:r>
          </w:p>
        </w:tc>
        <w:tc>
          <w:tcPr>
            <w:tcW w:w="1860" w:type="dxa"/>
            <w:tcMar>
              <w:top w:w="0" w:type="dxa"/>
              <w:bottom w:w="0" w:type="dxa"/>
            </w:tcMar>
            <w:vAlign w:val="center"/>
          </w:tcPr>
          <w:p w14:paraId="3AA19984" w14:textId="77777777" w:rsidR="00355D0C" w:rsidRDefault="00000000">
            <w:pPr>
              <w:keepNext/>
              <w:keepLines/>
              <w:spacing w:after="0" w:line="240" w:lineRule="auto"/>
              <w:jc w:val="right"/>
            </w:pPr>
            <w:r>
              <w:rPr>
                <w:sz w:val="18"/>
              </w:rPr>
              <w:t>0,00</w:t>
            </w:r>
          </w:p>
        </w:tc>
        <w:tc>
          <w:tcPr>
            <w:tcW w:w="700" w:type="dxa"/>
            <w:tcMar>
              <w:top w:w="0" w:type="dxa"/>
              <w:bottom w:w="0" w:type="dxa"/>
            </w:tcMar>
            <w:vAlign w:val="center"/>
          </w:tcPr>
          <w:p w14:paraId="648B3391" w14:textId="77777777" w:rsidR="00355D0C" w:rsidRDefault="00000000">
            <w:pPr>
              <w:keepNext/>
              <w:keepLines/>
              <w:spacing w:after="0" w:line="240" w:lineRule="auto"/>
              <w:jc w:val="right"/>
            </w:pPr>
            <w:r>
              <w:rPr>
                <w:sz w:val="18"/>
              </w:rPr>
              <w:t>0</w:t>
            </w:r>
          </w:p>
        </w:tc>
      </w:tr>
    </w:tbl>
    <w:p w14:paraId="6137A7F6" w14:textId="77777777" w:rsidR="00355D0C" w:rsidRDefault="00355D0C">
      <w:pPr>
        <w:spacing w:after="0"/>
      </w:pPr>
    </w:p>
    <w:p w14:paraId="2F336CD9" w14:textId="77777777" w:rsidR="00355D0C" w:rsidRDefault="00000000">
      <w:r>
        <w:t>U ovoj godini nije bilo naknade štete prema kupcima stanova.</w:t>
      </w:r>
    </w:p>
    <w:p w14:paraId="62E38A8F" w14:textId="77777777" w:rsidR="00355D0C" w:rsidRDefault="00355D0C"/>
    <w:p w14:paraId="4E4785F6" w14:textId="77777777" w:rsidR="00355D0C"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4D772C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EB0B6E"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22455D"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BE8CA"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AE455C"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A781D5"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2CB70D" w14:textId="77777777" w:rsidR="00355D0C" w:rsidRDefault="00000000">
            <w:pPr>
              <w:keepNext/>
              <w:keepLines/>
              <w:spacing w:after="0" w:line="240" w:lineRule="auto"/>
              <w:jc w:val="center"/>
            </w:pPr>
            <w:r>
              <w:rPr>
                <w:b/>
                <w:sz w:val="18"/>
              </w:rPr>
              <w:t>Indeks (%)</w:t>
            </w:r>
          </w:p>
        </w:tc>
      </w:tr>
      <w:tr w:rsidR="00355D0C" w14:paraId="4D97442D" w14:textId="77777777">
        <w:tblPrEx>
          <w:tblCellMar>
            <w:top w:w="0" w:type="dxa"/>
            <w:bottom w:w="0" w:type="dxa"/>
          </w:tblCellMar>
        </w:tblPrEx>
        <w:trPr>
          <w:cantSplit/>
          <w:trHeight w:val="560"/>
        </w:trPr>
        <w:tc>
          <w:tcPr>
            <w:tcW w:w="700" w:type="dxa"/>
            <w:tcMar>
              <w:top w:w="0" w:type="dxa"/>
              <w:bottom w:w="0" w:type="dxa"/>
            </w:tcMar>
            <w:vAlign w:val="center"/>
          </w:tcPr>
          <w:p w14:paraId="6FE24072" w14:textId="77777777" w:rsidR="00355D0C" w:rsidRDefault="00000000">
            <w:pPr>
              <w:keepNext/>
              <w:keepLines/>
              <w:spacing w:after="0" w:line="240" w:lineRule="auto"/>
            </w:pPr>
            <w:r>
              <w:rPr>
                <w:sz w:val="18"/>
              </w:rPr>
              <w:t>92211</w:t>
            </w:r>
          </w:p>
        </w:tc>
        <w:tc>
          <w:tcPr>
            <w:tcW w:w="3180" w:type="dxa"/>
            <w:tcMar>
              <w:top w:w="0" w:type="dxa"/>
              <w:bottom w:w="0" w:type="dxa"/>
            </w:tcMar>
            <w:vAlign w:val="center"/>
          </w:tcPr>
          <w:p w14:paraId="55CF3F10" w14:textId="77777777" w:rsidR="00355D0C"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0AB32727" w14:textId="77777777" w:rsidR="00355D0C" w:rsidRDefault="00000000">
            <w:pPr>
              <w:keepNext/>
              <w:keepLines/>
              <w:spacing w:after="0" w:line="240" w:lineRule="auto"/>
            </w:pPr>
            <w:r>
              <w:rPr>
                <w:sz w:val="18"/>
              </w:rPr>
              <w:t>92211</w:t>
            </w:r>
          </w:p>
        </w:tc>
        <w:tc>
          <w:tcPr>
            <w:tcW w:w="1860" w:type="dxa"/>
            <w:tcMar>
              <w:top w:w="0" w:type="dxa"/>
              <w:bottom w:w="0" w:type="dxa"/>
            </w:tcMar>
            <w:vAlign w:val="center"/>
          </w:tcPr>
          <w:p w14:paraId="15F1AA95" w14:textId="77777777" w:rsidR="00355D0C" w:rsidRDefault="00000000">
            <w:pPr>
              <w:keepNext/>
              <w:keepLines/>
              <w:spacing w:after="0" w:line="240" w:lineRule="auto"/>
              <w:jc w:val="right"/>
            </w:pPr>
            <w:r>
              <w:rPr>
                <w:sz w:val="18"/>
              </w:rPr>
              <w:t>244.800,59</w:t>
            </w:r>
          </w:p>
        </w:tc>
        <w:tc>
          <w:tcPr>
            <w:tcW w:w="1860" w:type="dxa"/>
            <w:tcMar>
              <w:top w:w="0" w:type="dxa"/>
              <w:bottom w:w="0" w:type="dxa"/>
            </w:tcMar>
            <w:vAlign w:val="center"/>
          </w:tcPr>
          <w:p w14:paraId="7329DE6F" w14:textId="77777777" w:rsidR="00355D0C" w:rsidRDefault="00000000">
            <w:pPr>
              <w:keepNext/>
              <w:keepLines/>
              <w:spacing w:after="0" w:line="240" w:lineRule="auto"/>
              <w:jc w:val="right"/>
            </w:pPr>
            <w:r>
              <w:rPr>
                <w:sz w:val="18"/>
              </w:rPr>
              <w:t>356.278,38</w:t>
            </w:r>
          </w:p>
        </w:tc>
        <w:tc>
          <w:tcPr>
            <w:tcW w:w="700" w:type="dxa"/>
            <w:tcMar>
              <w:top w:w="0" w:type="dxa"/>
              <w:bottom w:w="0" w:type="dxa"/>
            </w:tcMar>
            <w:vAlign w:val="center"/>
          </w:tcPr>
          <w:p w14:paraId="28472D08" w14:textId="77777777" w:rsidR="00355D0C" w:rsidRDefault="00000000">
            <w:pPr>
              <w:keepNext/>
              <w:keepLines/>
              <w:spacing w:after="0" w:line="240" w:lineRule="auto"/>
              <w:jc w:val="right"/>
            </w:pPr>
            <w:r>
              <w:rPr>
                <w:sz w:val="18"/>
              </w:rPr>
              <w:t>145,5</w:t>
            </w:r>
          </w:p>
        </w:tc>
      </w:tr>
    </w:tbl>
    <w:p w14:paraId="3F1F5BFF" w14:textId="77777777" w:rsidR="00355D0C" w:rsidRDefault="00355D0C">
      <w:pPr>
        <w:spacing w:after="0"/>
      </w:pPr>
    </w:p>
    <w:p w14:paraId="311923D3" w14:textId="77777777" w:rsidR="00355D0C" w:rsidRDefault="00000000">
      <w:r>
        <w:t>Nakon ispravka obračunatih prihoda gdje je utvrđeno da je knjižena glavnica prije kamate za vrijeme počeka sadržavala PDV u III. obroku koji je dio izdanog računa kupcu sa PDV-om bilo je potrebno ispraviti dio PDV-a u III. obroku te za isti iznos povećati stanje viška.</w:t>
      </w:r>
    </w:p>
    <w:p w14:paraId="2C80157E" w14:textId="77777777" w:rsidR="00355D0C" w:rsidRDefault="00355D0C"/>
    <w:p w14:paraId="48C55352" w14:textId="77777777" w:rsidR="00355D0C"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519D76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1A54BE"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31E2B3"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D2D987"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EFC41E"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4395F4"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DC906D" w14:textId="77777777" w:rsidR="00355D0C" w:rsidRDefault="00000000">
            <w:pPr>
              <w:keepNext/>
              <w:keepLines/>
              <w:spacing w:after="0" w:line="240" w:lineRule="auto"/>
              <w:jc w:val="center"/>
            </w:pPr>
            <w:r>
              <w:rPr>
                <w:b/>
                <w:sz w:val="18"/>
              </w:rPr>
              <w:t>Indeks (%)</w:t>
            </w:r>
          </w:p>
        </w:tc>
      </w:tr>
      <w:tr w:rsidR="00355D0C" w14:paraId="1970D3A4" w14:textId="77777777">
        <w:tblPrEx>
          <w:tblCellMar>
            <w:top w:w="0" w:type="dxa"/>
            <w:bottom w:w="0" w:type="dxa"/>
          </w:tblCellMar>
        </w:tblPrEx>
        <w:trPr>
          <w:cantSplit/>
          <w:trHeight w:val="560"/>
        </w:trPr>
        <w:tc>
          <w:tcPr>
            <w:tcW w:w="700" w:type="dxa"/>
            <w:tcMar>
              <w:top w:w="0" w:type="dxa"/>
              <w:bottom w:w="0" w:type="dxa"/>
            </w:tcMar>
            <w:vAlign w:val="center"/>
          </w:tcPr>
          <w:p w14:paraId="20E42C3C" w14:textId="77777777" w:rsidR="00355D0C" w:rsidRDefault="00000000">
            <w:pPr>
              <w:keepNext/>
              <w:keepLines/>
              <w:spacing w:after="0" w:line="240" w:lineRule="auto"/>
            </w:pPr>
            <w:r>
              <w:rPr>
                <w:sz w:val="18"/>
              </w:rPr>
              <w:t>96</w:t>
            </w:r>
          </w:p>
        </w:tc>
        <w:tc>
          <w:tcPr>
            <w:tcW w:w="3180" w:type="dxa"/>
            <w:tcMar>
              <w:top w:w="0" w:type="dxa"/>
              <w:bottom w:w="0" w:type="dxa"/>
            </w:tcMar>
            <w:vAlign w:val="center"/>
          </w:tcPr>
          <w:p w14:paraId="6C81BA62" w14:textId="77777777" w:rsidR="00355D0C"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47D83178" w14:textId="77777777" w:rsidR="00355D0C" w:rsidRDefault="00000000">
            <w:pPr>
              <w:keepNext/>
              <w:keepLines/>
              <w:spacing w:after="0" w:line="240" w:lineRule="auto"/>
            </w:pPr>
            <w:r>
              <w:rPr>
                <w:sz w:val="18"/>
              </w:rPr>
              <w:t>96</w:t>
            </w:r>
          </w:p>
        </w:tc>
        <w:tc>
          <w:tcPr>
            <w:tcW w:w="1860" w:type="dxa"/>
            <w:tcMar>
              <w:top w:w="0" w:type="dxa"/>
              <w:bottom w:w="0" w:type="dxa"/>
            </w:tcMar>
            <w:vAlign w:val="center"/>
          </w:tcPr>
          <w:p w14:paraId="4BEEA9C6" w14:textId="77777777" w:rsidR="00355D0C" w:rsidRDefault="00000000">
            <w:pPr>
              <w:keepNext/>
              <w:keepLines/>
              <w:spacing w:after="0" w:line="240" w:lineRule="auto"/>
              <w:jc w:val="right"/>
            </w:pPr>
            <w:r>
              <w:rPr>
                <w:sz w:val="18"/>
              </w:rPr>
              <w:t>423.274,16</w:t>
            </w:r>
          </w:p>
        </w:tc>
        <w:tc>
          <w:tcPr>
            <w:tcW w:w="1860" w:type="dxa"/>
            <w:tcMar>
              <w:top w:w="0" w:type="dxa"/>
              <w:bottom w:w="0" w:type="dxa"/>
            </w:tcMar>
            <w:vAlign w:val="center"/>
          </w:tcPr>
          <w:p w14:paraId="1DF40153" w14:textId="77777777" w:rsidR="00355D0C" w:rsidRDefault="00000000">
            <w:pPr>
              <w:keepNext/>
              <w:keepLines/>
              <w:spacing w:after="0" w:line="240" w:lineRule="auto"/>
              <w:jc w:val="right"/>
            </w:pPr>
            <w:r>
              <w:rPr>
                <w:sz w:val="18"/>
              </w:rPr>
              <w:t>240.971,92</w:t>
            </w:r>
          </w:p>
        </w:tc>
        <w:tc>
          <w:tcPr>
            <w:tcW w:w="700" w:type="dxa"/>
            <w:tcMar>
              <w:top w:w="0" w:type="dxa"/>
              <w:bottom w:w="0" w:type="dxa"/>
            </w:tcMar>
            <w:vAlign w:val="center"/>
          </w:tcPr>
          <w:p w14:paraId="34E39250" w14:textId="77777777" w:rsidR="00355D0C" w:rsidRDefault="00000000">
            <w:pPr>
              <w:keepNext/>
              <w:keepLines/>
              <w:spacing w:after="0" w:line="240" w:lineRule="auto"/>
              <w:jc w:val="right"/>
            </w:pPr>
            <w:r>
              <w:rPr>
                <w:sz w:val="18"/>
              </w:rPr>
              <w:t>56,9</w:t>
            </w:r>
          </w:p>
        </w:tc>
      </w:tr>
    </w:tbl>
    <w:p w14:paraId="1874067C" w14:textId="77777777" w:rsidR="00355D0C" w:rsidRDefault="00355D0C">
      <w:pPr>
        <w:spacing w:after="0"/>
      </w:pPr>
    </w:p>
    <w:p w14:paraId="36297699" w14:textId="77777777" w:rsidR="00355D0C" w:rsidRDefault="00000000">
      <w:r>
        <w:t>Ovi prihodi su znatno umanjeni s obzirom na isto razdoblje protekle godine zbog ovršnog postupka kojim se naplatio dio potraživanja, a dio se otpisuje. Upravno vijeće predlaže otpis nenaplativog potraživanja jer je založno pravo na nekretnini bilo sredstvo osiguranja za povrat ovog iznosa potraživanja za prodani stan. S obzirom na prodaju nema se više iz čega naplatiti glavnica tj. kamata te je buduća naplata u potpunosti nemoguća. Na kontu 966 knjiži se vrijednost potraživanja obračunatih prihoda bez PDV-a stoga se za nenaplaćeni dio potraživanja knjiži smanjenje vrijednosti na kontu 966 i za taj iznos se povećava konto promjene obujma na koji je prethodno knjižen dio koji je nemoguće naplatiti.</w:t>
      </w:r>
    </w:p>
    <w:p w14:paraId="6FB7A438" w14:textId="77777777" w:rsidR="00355D0C" w:rsidRDefault="00355D0C"/>
    <w:p w14:paraId="7323F3F9" w14:textId="77777777" w:rsidR="00355D0C"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736A53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538C92"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449348"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30D9E"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BE45C8"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87EC43"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7FA1AE" w14:textId="77777777" w:rsidR="00355D0C" w:rsidRDefault="00000000">
            <w:pPr>
              <w:keepNext/>
              <w:keepLines/>
              <w:spacing w:after="0" w:line="240" w:lineRule="auto"/>
              <w:jc w:val="center"/>
            </w:pPr>
            <w:r>
              <w:rPr>
                <w:b/>
                <w:sz w:val="18"/>
              </w:rPr>
              <w:t>Indeks (%)</w:t>
            </w:r>
          </w:p>
        </w:tc>
      </w:tr>
      <w:tr w:rsidR="00355D0C" w14:paraId="6561F21B" w14:textId="77777777">
        <w:tblPrEx>
          <w:tblCellMar>
            <w:top w:w="0" w:type="dxa"/>
            <w:bottom w:w="0" w:type="dxa"/>
          </w:tblCellMar>
        </w:tblPrEx>
        <w:trPr>
          <w:cantSplit/>
          <w:trHeight w:val="560"/>
        </w:trPr>
        <w:tc>
          <w:tcPr>
            <w:tcW w:w="700" w:type="dxa"/>
            <w:tcMar>
              <w:top w:w="0" w:type="dxa"/>
              <w:bottom w:w="0" w:type="dxa"/>
            </w:tcMar>
            <w:vAlign w:val="center"/>
          </w:tcPr>
          <w:p w14:paraId="511D8CCE" w14:textId="77777777" w:rsidR="00355D0C" w:rsidRDefault="00000000">
            <w:pPr>
              <w:keepNext/>
              <w:keepLines/>
              <w:spacing w:after="0" w:line="240" w:lineRule="auto"/>
            </w:pPr>
            <w:r>
              <w:rPr>
                <w:sz w:val="18"/>
              </w:rPr>
              <w:t>42</w:t>
            </w:r>
          </w:p>
        </w:tc>
        <w:tc>
          <w:tcPr>
            <w:tcW w:w="3180" w:type="dxa"/>
            <w:tcMar>
              <w:top w:w="0" w:type="dxa"/>
              <w:bottom w:w="0" w:type="dxa"/>
            </w:tcMar>
            <w:vAlign w:val="center"/>
          </w:tcPr>
          <w:p w14:paraId="75AF90A0" w14:textId="77777777" w:rsidR="00355D0C"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6B4C4980" w14:textId="77777777" w:rsidR="00355D0C" w:rsidRDefault="00000000">
            <w:pPr>
              <w:keepNext/>
              <w:keepLines/>
              <w:spacing w:after="0" w:line="240" w:lineRule="auto"/>
            </w:pPr>
            <w:r>
              <w:rPr>
                <w:sz w:val="18"/>
              </w:rPr>
              <w:t>42</w:t>
            </w:r>
          </w:p>
        </w:tc>
        <w:tc>
          <w:tcPr>
            <w:tcW w:w="1860" w:type="dxa"/>
            <w:tcMar>
              <w:top w:w="0" w:type="dxa"/>
              <w:bottom w:w="0" w:type="dxa"/>
            </w:tcMar>
            <w:vAlign w:val="center"/>
          </w:tcPr>
          <w:p w14:paraId="68ACAB9C" w14:textId="77777777" w:rsidR="00355D0C" w:rsidRDefault="00000000">
            <w:pPr>
              <w:keepNext/>
              <w:keepLines/>
              <w:spacing w:after="0" w:line="240" w:lineRule="auto"/>
              <w:jc w:val="right"/>
            </w:pPr>
            <w:r>
              <w:rPr>
                <w:sz w:val="18"/>
              </w:rPr>
              <w:t>216,00</w:t>
            </w:r>
          </w:p>
        </w:tc>
        <w:tc>
          <w:tcPr>
            <w:tcW w:w="1860" w:type="dxa"/>
            <w:tcMar>
              <w:top w:w="0" w:type="dxa"/>
              <w:bottom w:w="0" w:type="dxa"/>
            </w:tcMar>
            <w:vAlign w:val="center"/>
          </w:tcPr>
          <w:p w14:paraId="4340601B" w14:textId="77777777" w:rsidR="00355D0C" w:rsidRDefault="00000000">
            <w:pPr>
              <w:keepNext/>
              <w:keepLines/>
              <w:spacing w:after="0" w:line="240" w:lineRule="auto"/>
              <w:jc w:val="right"/>
            </w:pPr>
            <w:r>
              <w:rPr>
                <w:sz w:val="18"/>
              </w:rPr>
              <w:t>0,00</w:t>
            </w:r>
          </w:p>
        </w:tc>
        <w:tc>
          <w:tcPr>
            <w:tcW w:w="700" w:type="dxa"/>
            <w:tcMar>
              <w:top w:w="0" w:type="dxa"/>
              <w:bottom w:w="0" w:type="dxa"/>
            </w:tcMar>
            <w:vAlign w:val="center"/>
          </w:tcPr>
          <w:p w14:paraId="17B3BCE2" w14:textId="77777777" w:rsidR="00355D0C" w:rsidRDefault="00000000">
            <w:pPr>
              <w:keepNext/>
              <w:keepLines/>
              <w:spacing w:after="0" w:line="240" w:lineRule="auto"/>
              <w:jc w:val="right"/>
            </w:pPr>
            <w:r>
              <w:rPr>
                <w:sz w:val="18"/>
              </w:rPr>
              <w:t>0</w:t>
            </w:r>
          </w:p>
        </w:tc>
      </w:tr>
    </w:tbl>
    <w:p w14:paraId="7991E500" w14:textId="77777777" w:rsidR="00355D0C" w:rsidRDefault="00355D0C">
      <w:pPr>
        <w:spacing w:after="0"/>
      </w:pPr>
    </w:p>
    <w:p w14:paraId="6D0B201E" w14:textId="77777777" w:rsidR="00355D0C" w:rsidRDefault="00000000">
      <w:r>
        <w:t>U izvještajnom razdoblju tekuće godine nije bilo nabave dugotrajne imovine.</w:t>
      </w:r>
    </w:p>
    <w:p w14:paraId="5EDC071F" w14:textId="77777777" w:rsidR="00355D0C" w:rsidRDefault="00355D0C"/>
    <w:p w14:paraId="3A0A2394" w14:textId="77777777" w:rsidR="00355D0C"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1DB2B1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03AD26"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16501D"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0C430D"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750D63"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8F4345"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14594C" w14:textId="77777777" w:rsidR="00355D0C" w:rsidRDefault="00000000">
            <w:pPr>
              <w:keepNext/>
              <w:keepLines/>
              <w:spacing w:after="0" w:line="240" w:lineRule="auto"/>
              <w:jc w:val="center"/>
            </w:pPr>
            <w:r>
              <w:rPr>
                <w:b/>
                <w:sz w:val="18"/>
              </w:rPr>
              <w:t>Indeks (%)</w:t>
            </w:r>
          </w:p>
        </w:tc>
      </w:tr>
      <w:tr w:rsidR="00355D0C" w14:paraId="2ED355D2" w14:textId="77777777">
        <w:tblPrEx>
          <w:tblCellMar>
            <w:top w:w="0" w:type="dxa"/>
            <w:bottom w:w="0" w:type="dxa"/>
          </w:tblCellMar>
        </w:tblPrEx>
        <w:trPr>
          <w:cantSplit/>
          <w:trHeight w:val="560"/>
        </w:trPr>
        <w:tc>
          <w:tcPr>
            <w:tcW w:w="700" w:type="dxa"/>
            <w:tcMar>
              <w:top w:w="0" w:type="dxa"/>
              <w:bottom w:w="0" w:type="dxa"/>
            </w:tcMar>
            <w:vAlign w:val="center"/>
          </w:tcPr>
          <w:p w14:paraId="6B4C4209" w14:textId="77777777" w:rsidR="00355D0C" w:rsidRDefault="00000000">
            <w:pPr>
              <w:keepNext/>
              <w:keepLines/>
              <w:spacing w:after="0" w:line="240" w:lineRule="auto"/>
            </w:pPr>
            <w:r>
              <w:rPr>
                <w:sz w:val="18"/>
              </w:rPr>
              <w:t>9221-9222</w:t>
            </w:r>
          </w:p>
        </w:tc>
        <w:tc>
          <w:tcPr>
            <w:tcW w:w="3180" w:type="dxa"/>
            <w:tcMar>
              <w:top w:w="0" w:type="dxa"/>
              <w:bottom w:w="0" w:type="dxa"/>
            </w:tcMar>
            <w:vAlign w:val="center"/>
          </w:tcPr>
          <w:p w14:paraId="678E4502" w14:textId="77777777" w:rsidR="00355D0C"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57FA53BD" w14:textId="77777777" w:rsidR="00355D0C" w:rsidRDefault="00000000">
            <w:pPr>
              <w:keepNext/>
              <w:keepLines/>
              <w:spacing w:after="0" w:line="240" w:lineRule="auto"/>
            </w:pPr>
            <w:r>
              <w:rPr>
                <w:sz w:val="18"/>
              </w:rPr>
              <w:t>9221-9222</w:t>
            </w:r>
          </w:p>
        </w:tc>
        <w:tc>
          <w:tcPr>
            <w:tcW w:w="1860" w:type="dxa"/>
            <w:tcMar>
              <w:top w:w="0" w:type="dxa"/>
              <w:bottom w:w="0" w:type="dxa"/>
            </w:tcMar>
            <w:vAlign w:val="center"/>
          </w:tcPr>
          <w:p w14:paraId="396B56B9" w14:textId="77777777" w:rsidR="00355D0C" w:rsidRDefault="00000000">
            <w:pPr>
              <w:keepNext/>
              <w:keepLines/>
              <w:spacing w:after="0" w:line="240" w:lineRule="auto"/>
              <w:jc w:val="right"/>
            </w:pPr>
            <w:r>
              <w:rPr>
                <w:sz w:val="18"/>
              </w:rPr>
              <w:t>244.800,59</w:t>
            </w:r>
          </w:p>
        </w:tc>
        <w:tc>
          <w:tcPr>
            <w:tcW w:w="1860" w:type="dxa"/>
            <w:tcMar>
              <w:top w:w="0" w:type="dxa"/>
              <w:bottom w:w="0" w:type="dxa"/>
            </w:tcMar>
            <w:vAlign w:val="center"/>
          </w:tcPr>
          <w:p w14:paraId="65EAC19C" w14:textId="77777777" w:rsidR="00355D0C" w:rsidRDefault="00000000">
            <w:pPr>
              <w:keepNext/>
              <w:keepLines/>
              <w:spacing w:after="0" w:line="240" w:lineRule="auto"/>
              <w:jc w:val="right"/>
            </w:pPr>
            <w:r>
              <w:rPr>
                <w:sz w:val="18"/>
              </w:rPr>
              <w:t>356.278,38</w:t>
            </w:r>
          </w:p>
        </w:tc>
        <w:tc>
          <w:tcPr>
            <w:tcW w:w="700" w:type="dxa"/>
            <w:tcMar>
              <w:top w:w="0" w:type="dxa"/>
              <w:bottom w:w="0" w:type="dxa"/>
            </w:tcMar>
            <w:vAlign w:val="center"/>
          </w:tcPr>
          <w:p w14:paraId="7A1265AB" w14:textId="77777777" w:rsidR="00355D0C" w:rsidRDefault="00000000">
            <w:pPr>
              <w:keepNext/>
              <w:keepLines/>
              <w:spacing w:after="0" w:line="240" w:lineRule="auto"/>
              <w:jc w:val="right"/>
            </w:pPr>
            <w:r>
              <w:rPr>
                <w:sz w:val="18"/>
              </w:rPr>
              <w:t>145,5</w:t>
            </w:r>
          </w:p>
        </w:tc>
      </w:tr>
    </w:tbl>
    <w:p w14:paraId="7C902723" w14:textId="77777777" w:rsidR="00355D0C" w:rsidRDefault="00355D0C">
      <w:pPr>
        <w:spacing w:after="0"/>
      </w:pPr>
    </w:p>
    <w:p w14:paraId="413A5F5A" w14:textId="77777777" w:rsidR="00355D0C" w:rsidRDefault="00000000">
      <w:r>
        <w:t>S obirom na obračunate prihode iz prethodnih razdoblja te s obzirom na usklađenje sa stanjem potraživanja od kupaca (IOS) utvrđuje se da je došlo do razlike koja se odnosi na veće stanje obračunatih prihoda u poslovnim knjigama u odnosu na stvarno stanje potraživanja od kupaca bez PDV-a, te je nastalu razliku potrebno bilo knjižiti na teret rezultata.</w:t>
      </w:r>
    </w:p>
    <w:p w14:paraId="7768E06D" w14:textId="77777777" w:rsidR="00355D0C" w:rsidRDefault="00355D0C"/>
    <w:p w14:paraId="0D76A28C" w14:textId="77777777" w:rsidR="00355D0C"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710091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68C89"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8A15AB"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E4046"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A4A0B6" w14:textId="77777777" w:rsidR="00355D0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B63371" w14:textId="77777777" w:rsidR="00355D0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E06146" w14:textId="77777777" w:rsidR="00355D0C" w:rsidRDefault="00000000">
            <w:pPr>
              <w:keepNext/>
              <w:keepLines/>
              <w:spacing w:after="0" w:line="240" w:lineRule="auto"/>
              <w:jc w:val="center"/>
            </w:pPr>
            <w:r>
              <w:rPr>
                <w:b/>
                <w:sz w:val="18"/>
              </w:rPr>
              <w:t>Indeks (%)</w:t>
            </w:r>
          </w:p>
        </w:tc>
      </w:tr>
      <w:tr w:rsidR="00355D0C" w14:paraId="73B4E0F1" w14:textId="77777777">
        <w:tblPrEx>
          <w:tblCellMar>
            <w:top w:w="0" w:type="dxa"/>
            <w:bottom w:w="0" w:type="dxa"/>
          </w:tblCellMar>
        </w:tblPrEx>
        <w:trPr>
          <w:cantSplit/>
          <w:trHeight w:val="560"/>
        </w:trPr>
        <w:tc>
          <w:tcPr>
            <w:tcW w:w="700" w:type="dxa"/>
            <w:tcMar>
              <w:top w:w="0" w:type="dxa"/>
              <w:bottom w:w="0" w:type="dxa"/>
            </w:tcMar>
            <w:vAlign w:val="center"/>
          </w:tcPr>
          <w:p w14:paraId="3DDD7165" w14:textId="77777777" w:rsidR="00355D0C" w:rsidRDefault="00355D0C">
            <w:pPr>
              <w:keepNext/>
              <w:keepLines/>
              <w:spacing w:after="0" w:line="240" w:lineRule="auto"/>
            </w:pPr>
          </w:p>
        </w:tc>
        <w:tc>
          <w:tcPr>
            <w:tcW w:w="3180" w:type="dxa"/>
            <w:tcMar>
              <w:top w:w="0" w:type="dxa"/>
              <w:bottom w:w="0" w:type="dxa"/>
            </w:tcMar>
            <w:vAlign w:val="center"/>
          </w:tcPr>
          <w:p w14:paraId="73540422" w14:textId="77777777" w:rsidR="00355D0C"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792F8163" w14:textId="77777777" w:rsidR="00355D0C" w:rsidRDefault="00000000">
            <w:pPr>
              <w:keepNext/>
              <w:keepLines/>
              <w:spacing w:after="0" w:line="240" w:lineRule="auto"/>
            </w:pPr>
            <w:r>
              <w:rPr>
                <w:sz w:val="18"/>
              </w:rPr>
              <w:t>X006</w:t>
            </w:r>
          </w:p>
        </w:tc>
        <w:tc>
          <w:tcPr>
            <w:tcW w:w="1860" w:type="dxa"/>
            <w:tcMar>
              <w:top w:w="0" w:type="dxa"/>
              <w:bottom w:w="0" w:type="dxa"/>
            </w:tcMar>
            <w:vAlign w:val="center"/>
          </w:tcPr>
          <w:p w14:paraId="2E83A8AE" w14:textId="77777777" w:rsidR="00355D0C" w:rsidRDefault="00000000">
            <w:pPr>
              <w:keepNext/>
              <w:keepLines/>
              <w:spacing w:after="0" w:line="240" w:lineRule="auto"/>
              <w:jc w:val="right"/>
            </w:pPr>
            <w:r>
              <w:rPr>
                <w:sz w:val="18"/>
              </w:rPr>
              <w:t>221.169,73</w:t>
            </w:r>
          </w:p>
        </w:tc>
        <w:tc>
          <w:tcPr>
            <w:tcW w:w="1860" w:type="dxa"/>
            <w:tcMar>
              <w:top w:w="0" w:type="dxa"/>
              <w:bottom w:w="0" w:type="dxa"/>
            </w:tcMar>
            <w:vAlign w:val="center"/>
          </w:tcPr>
          <w:p w14:paraId="0BEADC7A" w14:textId="77777777" w:rsidR="00355D0C" w:rsidRDefault="00000000">
            <w:pPr>
              <w:keepNext/>
              <w:keepLines/>
              <w:spacing w:after="0" w:line="240" w:lineRule="auto"/>
              <w:jc w:val="right"/>
            </w:pPr>
            <w:r>
              <w:rPr>
                <w:sz w:val="18"/>
              </w:rPr>
              <w:t>304.925,38</w:t>
            </w:r>
          </w:p>
        </w:tc>
        <w:tc>
          <w:tcPr>
            <w:tcW w:w="700" w:type="dxa"/>
            <w:tcMar>
              <w:top w:w="0" w:type="dxa"/>
              <w:bottom w:w="0" w:type="dxa"/>
            </w:tcMar>
            <w:vAlign w:val="center"/>
          </w:tcPr>
          <w:p w14:paraId="4C18EFD0" w14:textId="77777777" w:rsidR="00355D0C" w:rsidRDefault="00000000">
            <w:pPr>
              <w:keepNext/>
              <w:keepLines/>
              <w:spacing w:after="0" w:line="240" w:lineRule="auto"/>
              <w:jc w:val="right"/>
            </w:pPr>
            <w:r>
              <w:rPr>
                <w:sz w:val="18"/>
              </w:rPr>
              <w:t>137,9</w:t>
            </w:r>
          </w:p>
        </w:tc>
      </w:tr>
    </w:tbl>
    <w:p w14:paraId="7D266A58" w14:textId="77777777" w:rsidR="00355D0C" w:rsidRDefault="00355D0C">
      <w:pPr>
        <w:spacing w:after="0"/>
      </w:pPr>
    </w:p>
    <w:p w14:paraId="45CAA848" w14:textId="77777777" w:rsidR="00355D0C" w:rsidRDefault="00000000">
      <w:r>
        <w:t>Nakon obračuna prihoda i rashoda koji su znatno veći i nakon korekcije potraživanja navedeni iznos je raspoloživ u sljedećem razdoblju.</w:t>
      </w:r>
    </w:p>
    <w:p w14:paraId="0AA6A4CE" w14:textId="77777777" w:rsidR="00355D0C" w:rsidRDefault="00355D0C"/>
    <w:p w14:paraId="360D33BA" w14:textId="77777777" w:rsidR="00355D0C" w:rsidRDefault="00000000">
      <w:pPr>
        <w:keepNext/>
        <w:spacing w:line="240" w:lineRule="auto"/>
        <w:jc w:val="center"/>
      </w:pPr>
      <w:r>
        <w:rPr>
          <w:b/>
          <w:sz w:val="28"/>
        </w:rPr>
        <w:t>Bilanca</w:t>
      </w:r>
    </w:p>
    <w:p w14:paraId="33862596" w14:textId="77777777" w:rsidR="00355D0C"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0F680A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5CBC1E"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A98F75"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F15D10"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8BF553"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4F21B4"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CCEB34" w14:textId="77777777" w:rsidR="00355D0C" w:rsidRDefault="00000000">
            <w:pPr>
              <w:keepNext/>
              <w:keepLines/>
              <w:spacing w:after="0" w:line="240" w:lineRule="auto"/>
              <w:jc w:val="center"/>
            </w:pPr>
            <w:r>
              <w:rPr>
                <w:b/>
                <w:sz w:val="18"/>
              </w:rPr>
              <w:t>Indeks (%)</w:t>
            </w:r>
          </w:p>
        </w:tc>
      </w:tr>
      <w:tr w:rsidR="00355D0C" w14:paraId="35B1A8C0" w14:textId="77777777">
        <w:tblPrEx>
          <w:tblCellMar>
            <w:top w:w="0" w:type="dxa"/>
            <w:bottom w:w="0" w:type="dxa"/>
          </w:tblCellMar>
        </w:tblPrEx>
        <w:trPr>
          <w:cantSplit/>
          <w:trHeight w:val="560"/>
        </w:trPr>
        <w:tc>
          <w:tcPr>
            <w:tcW w:w="700" w:type="dxa"/>
            <w:tcMar>
              <w:top w:w="0" w:type="dxa"/>
              <w:bottom w:w="0" w:type="dxa"/>
            </w:tcMar>
            <w:vAlign w:val="center"/>
          </w:tcPr>
          <w:p w14:paraId="256982D7" w14:textId="77777777" w:rsidR="00355D0C" w:rsidRDefault="00000000">
            <w:pPr>
              <w:keepNext/>
              <w:keepLines/>
              <w:spacing w:after="0" w:line="240" w:lineRule="auto"/>
            </w:pPr>
            <w:r>
              <w:rPr>
                <w:sz w:val="18"/>
              </w:rPr>
              <w:t>01</w:t>
            </w:r>
          </w:p>
        </w:tc>
        <w:tc>
          <w:tcPr>
            <w:tcW w:w="3180" w:type="dxa"/>
            <w:tcMar>
              <w:top w:w="0" w:type="dxa"/>
              <w:bottom w:w="0" w:type="dxa"/>
            </w:tcMar>
            <w:vAlign w:val="center"/>
          </w:tcPr>
          <w:p w14:paraId="5BCD2DBF" w14:textId="77777777" w:rsidR="00355D0C" w:rsidRDefault="00000000">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6960E8B4" w14:textId="77777777" w:rsidR="00355D0C" w:rsidRDefault="00000000">
            <w:pPr>
              <w:keepNext/>
              <w:keepLines/>
              <w:spacing w:after="0" w:line="240" w:lineRule="auto"/>
            </w:pPr>
            <w:r>
              <w:rPr>
                <w:sz w:val="18"/>
              </w:rPr>
              <w:t>01</w:t>
            </w:r>
          </w:p>
        </w:tc>
        <w:tc>
          <w:tcPr>
            <w:tcW w:w="1860" w:type="dxa"/>
            <w:tcMar>
              <w:top w:w="0" w:type="dxa"/>
              <w:bottom w:w="0" w:type="dxa"/>
            </w:tcMar>
            <w:vAlign w:val="center"/>
          </w:tcPr>
          <w:p w14:paraId="45CC25F2" w14:textId="77777777" w:rsidR="00355D0C" w:rsidRDefault="00000000">
            <w:pPr>
              <w:keepNext/>
              <w:keepLines/>
              <w:spacing w:after="0" w:line="240" w:lineRule="auto"/>
              <w:jc w:val="right"/>
            </w:pPr>
            <w:r>
              <w:rPr>
                <w:sz w:val="18"/>
              </w:rPr>
              <w:t>167.950,20</w:t>
            </w:r>
          </w:p>
        </w:tc>
        <w:tc>
          <w:tcPr>
            <w:tcW w:w="1860" w:type="dxa"/>
            <w:tcMar>
              <w:top w:w="0" w:type="dxa"/>
              <w:bottom w:w="0" w:type="dxa"/>
            </w:tcMar>
            <w:vAlign w:val="center"/>
          </w:tcPr>
          <w:p w14:paraId="43D8859D" w14:textId="77777777" w:rsidR="00355D0C" w:rsidRDefault="00000000">
            <w:pPr>
              <w:keepNext/>
              <w:keepLines/>
              <w:spacing w:after="0" w:line="240" w:lineRule="auto"/>
              <w:jc w:val="right"/>
            </w:pPr>
            <w:r>
              <w:rPr>
                <w:sz w:val="18"/>
              </w:rPr>
              <w:t>167.950,20</w:t>
            </w:r>
          </w:p>
        </w:tc>
        <w:tc>
          <w:tcPr>
            <w:tcW w:w="700" w:type="dxa"/>
            <w:tcMar>
              <w:top w:w="0" w:type="dxa"/>
              <w:bottom w:w="0" w:type="dxa"/>
            </w:tcMar>
            <w:vAlign w:val="center"/>
          </w:tcPr>
          <w:p w14:paraId="648AA390" w14:textId="77777777" w:rsidR="00355D0C" w:rsidRDefault="00000000">
            <w:pPr>
              <w:keepNext/>
              <w:keepLines/>
              <w:spacing w:after="0" w:line="240" w:lineRule="auto"/>
              <w:jc w:val="right"/>
            </w:pPr>
            <w:r>
              <w:rPr>
                <w:sz w:val="18"/>
              </w:rPr>
              <w:t>100</w:t>
            </w:r>
          </w:p>
        </w:tc>
      </w:tr>
    </w:tbl>
    <w:p w14:paraId="7BA394A1" w14:textId="77777777" w:rsidR="00355D0C" w:rsidRDefault="00355D0C">
      <w:pPr>
        <w:spacing w:after="0"/>
      </w:pPr>
    </w:p>
    <w:p w14:paraId="4D89DE3F" w14:textId="77777777" w:rsidR="00355D0C" w:rsidRDefault="00000000">
      <w:r>
        <w:t>Agencija u izvještajnom razdoblju nije ulagala u dugotrajnu materijalnu imovinu. Tijekom 2025. godine nije bilo prodaje dugotrajne imovine.</w:t>
      </w:r>
    </w:p>
    <w:p w14:paraId="3D1FF72C" w14:textId="77777777" w:rsidR="00355D0C" w:rsidRDefault="00355D0C"/>
    <w:p w14:paraId="0E5A1620" w14:textId="77777777" w:rsidR="00355D0C"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381D4C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0F7383"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CF30AC"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8B0648"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7CE328"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2337B2"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1C6A0E" w14:textId="77777777" w:rsidR="00355D0C" w:rsidRDefault="00000000">
            <w:pPr>
              <w:keepNext/>
              <w:keepLines/>
              <w:spacing w:after="0" w:line="240" w:lineRule="auto"/>
              <w:jc w:val="center"/>
            </w:pPr>
            <w:r>
              <w:rPr>
                <w:b/>
                <w:sz w:val="18"/>
              </w:rPr>
              <w:t>Indeks (%)</w:t>
            </w:r>
          </w:p>
        </w:tc>
      </w:tr>
      <w:tr w:rsidR="00355D0C" w14:paraId="5F8117D5" w14:textId="77777777">
        <w:tblPrEx>
          <w:tblCellMar>
            <w:top w:w="0" w:type="dxa"/>
            <w:bottom w:w="0" w:type="dxa"/>
          </w:tblCellMar>
        </w:tblPrEx>
        <w:trPr>
          <w:cantSplit/>
          <w:trHeight w:val="560"/>
        </w:trPr>
        <w:tc>
          <w:tcPr>
            <w:tcW w:w="700" w:type="dxa"/>
            <w:tcMar>
              <w:top w:w="0" w:type="dxa"/>
              <w:bottom w:w="0" w:type="dxa"/>
            </w:tcMar>
            <w:vAlign w:val="center"/>
          </w:tcPr>
          <w:p w14:paraId="56FA0061" w14:textId="77777777" w:rsidR="00355D0C" w:rsidRDefault="00000000">
            <w:pPr>
              <w:keepNext/>
              <w:keepLines/>
              <w:spacing w:after="0" w:line="240" w:lineRule="auto"/>
            </w:pPr>
            <w:r>
              <w:rPr>
                <w:sz w:val="18"/>
              </w:rPr>
              <w:t>02</w:t>
            </w:r>
          </w:p>
        </w:tc>
        <w:tc>
          <w:tcPr>
            <w:tcW w:w="3180" w:type="dxa"/>
            <w:tcMar>
              <w:top w:w="0" w:type="dxa"/>
              <w:bottom w:w="0" w:type="dxa"/>
            </w:tcMar>
            <w:vAlign w:val="center"/>
          </w:tcPr>
          <w:p w14:paraId="4FED7BA7" w14:textId="77777777" w:rsidR="00355D0C"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64AD9D84" w14:textId="77777777" w:rsidR="00355D0C" w:rsidRDefault="00000000">
            <w:pPr>
              <w:keepNext/>
              <w:keepLines/>
              <w:spacing w:after="0" w:line="240" w:lineRule="auto"/>
            </w:pPr>
            <w:r>
              <w:rPr>
                <w:sz w:val="18"/>
              </w:rPr>
              <w:t>02</w:t>
            </w:r>
          </w:p>
        </w:tc>
        <w:tc>
          <w:tcPr>
            <w:tcW w:w="1860" w:type="dxa"/>
            <w:tcMar>
              <w:top w:w="0" w:type="dxa"/>
              <w:bottom w:w="0" w:type="dxa"/>
            </w:tcMar>
            <w:vAlign w:val="center"/>
          </w:tcPr>
          <w:p w14:paraId="7380C7B6" w14:textId="77777777" w:rsidR="00355D0C" w:rsidRDefault="00000000">
            <w:pPr>
              <w:keepNext/>
              <w:keepLines/>
              <w:spacing w:after="0" w:line="240" w:lineRule="auto"/>
              <w:jc w:val="right"/>
            </w:pPr>
            <w:r>
              <w:rPr>
                <w:sz w:val="18"/>
              </w:rPr>
              <w:t>105.026,99</w:t>
            </w:r>
          </w:p>
        </w:tc>
        <w:tc>
          <w:tcPr>
            <w:tcW w:w="1860" w:type="dxa"/>
            <w:tcMar>
              <w:top w:w="0" w:type="dxa"/>
              <w:bottom w:w="0" w:type="dxa"/>
            </w:tcMar>
            <w:vAlign w:val="center"/>
          </w:tcPr>
          <w:p w14:paraId="2E7A8D80" w14:textId="77777777" w:rsidR="00355D0C" w:rsidRDefault="00000000">
            <w:pPr>
              <w:keepNext/>
              <w:keepLines/>
              <w:spacing w:after="0" w:line="240" w:lineRule="auto"/>
              <w:jc w:val="right"/>
            </w:pPr>
            <w:r>
              <w:rPr>
                <w:sz w:val="18"/>
              </w:rPr>
              <w:t>103.258,65</w:t>
            </w:r>
          </w:p>
        </w:tc>
        <w:tc>
          <w:tcPr>
            <w:tcW w:w="700" w:type="dxa"/>
            <w:tcMar>
              <w:top w:w="0" w:type="dxa"/>
              <w:bottom w:w="0" w:type="dxa"/>
            </w:tcMar>
            <w:vAlign w:val="center"/>
          </w:tcPr>
          <w:p w14:paraId="2E932F0F" w14:textId="77777777" w:rsidR="00355D0C" w:rsidRDefault="00000000">
            <w:pPr>
              <w:keepNext/>
              <w:keepLines/>
              <w:spacing w:after="0" w:line="240" w:lineRule="auto"/>
              <w:jc w:val="right"/>
            </w:pPr>
            <w:r>
              <w:rPr>
                <w:sz w:val="18"/>
              </w:rPr>
              <w:t>98,3</w:t>
            </w:r>
          </w:p>
        </w:tc>
      </w:tr>
    </w:tbl>
    <w:p w14:paraId="767C27DC" w14:textId="77777777" w:rsidR="00355D0C" w:rsidRDefault="00355D0C">
      <w:pPr>
        <w:spacing w:after="0"/>
      </w:pPr>
    </w:p>
    <w:p w14:paraId="141208D4" w14:textId="77777777" w:rsidR="00355D0C" w:rsidRDefault="00000000">
      <w:r>
        <w:t>Ispravak vrijednosti dugotrajne materijalne imovine za 2025. godinu evidentiran je u iznosu od 19.404,22 eura.</w:t>
      </w:r>
    </w:p>
    <w:p w14:paraId="12E961B1" w14:textId="77777777" w:rsidR="00355D0C" w:rsidRDefault="00355D0C"/>
    <w:p w14:paraId="1E559161" w14:textId="77777777" w:rsidR="00355D0C"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6C63F4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B6F40E"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BD914F"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7C3D77"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4F0028"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C5D72C"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DC8842" w14:textId="77777777" w:rsidR="00355D0C" w:rsidRDefault="00000000">
            <w:pPr>
              <w:keepNext/>
              <w:keepLines/>
              <w:spacing w:after="0" w:line="240" w:lineRule="auto"/>
              <w:jc w:val="center"/>
            </w:pPr>
            <w:r>
              <w:rPr>
                <w:b/>
                <w:sz w:val="18"/>
              </w:rPr>
              <w:t>Indeks (%)</w:t>
            </w:r>
          </w:p>
        </w:tc>
      </w:tr>
      <w:tr w:rsidR="00355D0C" w14:paraId="2B3AA5C1" w14:textId="77777777">
        <w:tblPrEx>
          <w:tblCellMar>
            <w:top w:w="0" w:type="dxa"/>
            <w:bottom w:w="0" w:type="dxa"/>
          </w:tblCellMar>
        </w:tblPrEx>
        <w:trPr>
          <w:cantSplit/>
          <w:trHeight w:val="560"/>
        </w:trPr>
        <w:tc>
          <w:tcPr>
            <w:tcW w:w="700" w:type="dxa"/>
            <w:tcMar>
              <w:top w:w="0" w:type="dxa"/>
              <w:bottom w:w="0" w:type="dxa"/>
            </w:tcMar>
            <w:vAlign w:val="center"/>
          </w:tcPr>
          <w:p w14:paraId="519CAA36" w14:textId="77777777" w:rsidR="00355D0C" w:rsidRDefault="00000000">
            <w:pPr>
              <w:keepNext/>
              <w:keepLines/>
              <w:spacing w:after="0" w:line="240" w:lineRule="auto"/>
            </w:pPr>
            <w:r>
              <w:rPr>
                <w:sz w:val="18"/>
              </w:rPr>
              <w:t>1</w:t>
            </w:r>
          </w:p>
        </w:tc>
        <w:tc>
          <w:tcPr>
            <w:tcW w:w="3180" w:type="dxa"/>
            <w:tcMar>
              <w:top w:w="0" w:type="dxa"/>
              <w:bottom w:w="0" w:type="dxa"/>
            </w:tcMar>
            <w:vAlign w:val="center"/>
          </w:tcPr>
          <w:p w14:paraId="023AB75B" w14:textId="77777777" w:rsidR="00355D0C"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2198DA74" w14:textId="77777777" w:rsidR="00355D0C" w:rsidRDefault="00000000">
            <w:pPr>
              <w:keepNext/>
              <w:keepLines/>
              <w:spacing w:after="0" w:line="240" w:lineRule="auto"/>
            </w:pPr>
            <w:r>
              <w:rPr>
                <w:sz w:val="18"/>
              </w:rPr>
              <w:t>1</w:t>
            </w:r>
          </w:p>
        </w:tc>
        <w:tc>
          <w:tcPr>
            <w:tcW w:w="1860" w:type="dxa"/>
            <w:tcMar>
              <w:top w:w="0" w:type="dxa"/>
              <w:bottom w:w="0" w:type="dxa"/>
            </w:tcMar>
            <w:vAlign w:val="center"/>
          </w:tcPr>
          <w:p w14:paraId="0001570F" w14:textId="77777777" w:rsidR="00355D0C" w:rsidRDefault="00000000">
            <w:pPr>
              <w:keepNext/>
              <w:keepLines/>
              <w:spacing w:after="0" w:line="240" w:lineRule="auto"/>
              <w:jc w:val="right"/>
            </w:pPr>
            <w:r>
              <w:rPr>
                <w:sz w:val="18"/>
              </w:rPr>
              <w:t>988.829,16</w:t>
            </w:r>
          </w:p>
        </w:tc>
        <w:tc>
          <w:tcPr>
            <w:tcW w:w="1860" w:type="dxa"/>
            <w:tcMar>
              <w:top w:w="0" w:type="dxa"/>
              <w:bottom w:w="0" w:type="dxa"/>
            </w:tcMar>
            <w:vAlign w:val="center"/>
          </w:tcPr>
          <w:p w14:paraId="4E75866E" w14:textId="77777777" w:rsidR="00355D0C" w:rsidRDefault="00000000">
            <w:pPr>
              <w:keepNext/>
              <w:keepLines/>
              <w:spacing w:after="0" w:line="240" w:lineRule="auto"/>
              <w:jc w:val="right"/>
            </w:pPr>
            <w:r>
              <w:rPr>
                <w:sz w:val="18"/>
              </w:rPr>
              <w:t>851.991,66</w:t>
            </w:r>
          </w:p>
        </w:tc>
        <w:tc>
          <w:tcPr>
            <w:tcW w:w="700" w:type="dxa"/>
            <w:tcMar>
              <w:top w:w="0" w:type="dxa"/>
              <w:bottom w:w="0" w:type="dxa"/>
            </w:tcMar>
            <w:vAlign w:val="center"/>
          </w:tcPr>
          <w:p w14:paraId="0DB31BB5" w14:textId="77777777" w:rsidR="00355D0C" w:rsidRDefault="00000000">
            <w:pPr>
              <w:keepNext/>
              <w:keepLines/>
              <w:spacing w:after="0" w:line="240" w:lineRule="auto"/>
              <w:jc w:val="right"/>
            </w:pPr>
            <w:r>
              <w:rPr>
                <w:sz w:val="18"/>
              </w:rPr>
              <w:t>86,2</w:t>
            </w:r>
          </w:p>
        </w:tc>
      </w:tr>
    </w:tbl>
    <w:p w14:paraId="03F59D08" w14:textId="77777777" w:rsidR="00355D0C" w:rsidRDefault="00355D0C">
      <w:pPr>
        <w:spacing w:after="0"/>
      </w:pPr>
    </w:p>
    <w:p w14:paraId="0095ED10" w14:textId="77777777" w:rsidR="00355D0C" w:rsidRDefault="00000000">
      <w:r>
        <w:t xml:space="preserve">Ukupna potraživanja na dan 31.prosinca 2025. godine iznose 851.991,66 eura. Potraživanja su kratkotrajna i odnose se na potraživanja za prihode od prodaje usluga u iznosu od 1.682,92 eura, te dugotrajna potraživanja za prihode od stanova u iznosu od 837.235,47 eura. </w:t>
      </w:r>
      <w:r>
        <w:lastRenderedPageBreak/>
        <w:t>Dugotrajna potraživanja za prihode od prodaje robe odnose se na potraživanja za prodaju stanova izgrađenih po programu POS-a za treći obrok kojeg kupci stanova plaćaju izravno Agenciji. U ukupna potraživanja spadaju i potraživanja proračunskih korisnika za sredstva uplaćena u proračun u iznosu od 13.073,27 eura.</w:t>
      </w:r>
    </w:p>
    <w:p w14:paraId="12B43849" w14:textId="77777777" w:rsidR="00355D0C" w:rsidRDefault="00355D0C"/>
    <w:p w14:paraId="26E00836" w14:textId="77777777" w:rsidR="00355D0C"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0C6302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A7CDBA"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8C536A"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8EEE2"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A14B29"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CD55DD"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63BD54" w14:textId="77777777" w:rsidR="00355D0C" w:rsidRDefault="00000000">
            <w:pPr>
              <w:keepNext/>
              <w:keepLines/>
              <w:spacing w:after="0" w:line="240" w:lineRule="auto"/>
              <w:jc w:val="center"/>
            </w:pPr>
            <w:r>
              <w:rPr>
                <w:b/>
                <w:sz w:val="18"/>
              </w:rPr>
              <w:t>Indeks (%)</w:t>
            </w:r>
          </w:p>
        </w:tc>
      </w:tr>
      <w:tr w:rsidR="00355D0C" w14:paraId="64884A8E" w14:textId="77777777">
        <w:tblPrEx>
          <w:tblCellMar>
            <w:top w:w="0" w:type="dxa"/>
            <w:bottom w:w="0" w:type="dxa"/>
          </w:tblCellMar>
        </w:tblPrEx>
        <w:trPr>
          <w:cantSplit/>
          <w:trHeight w:val="560"/>
        </w:trPr>
        <w:tc>
          <w:tcPr>
            <w:tcW w:w="700" w:type="dxa"/>
            <w:tcMar>
              <w:top w:w="0" w:type="dxa"/>
              <w:bottom w:w="0" w:type="dxa"/>
            </w:tcMar>
            <w:vAlign w:val="center"/>
          </w:tcPr>
          <w:p w14:paraId="4D5B3190" w14:textId="77777777" w:rsidR="00355D0C" w:rsidRDefault="00000000">
            <w:pPr>
              <w:keepNext/>
              <w:keepLines/>
              <w:spacing w:after="0" w:line="240" w:lineRule="auto"/>
            </w:pPr>
            <w:r>
              <w:rPr>
                <w:sz w:val="18"/>
              </w:rPr>
              <w:t>166</w:t>
            </w:r>
          </w:p>
        </w:tc>
        <w:tc>
          <w:tcPr>
            <w:tcW w:w="3180" w:type="dxa"/>
            <w:tcMar>
              <w:top w:w="0" w:type="dxa"/>
              <w:bottom w:w="0" w:type="dxa"/>
            </w:tcMar>
            <w:vAlign w:val="center"/>
          </w:tcPr>
          <w:p w14:paraId="3E893E00" w14:textId="77777777" w:rsidR="00355D0C"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321C53ED" w14:textId="77777777" w:rsidR="00355D0C" w:rsidRDefault="00000000">
            <w:pPr>
              <w:keepNext/>
              <w:keepLines/>
              <w:spacing w:after="0" w:line="240" w:lineRule="auto"/>
            </w:pPr>
            <w:r>
              <w:rPr>
                <w:sz w:val="18"/>
              </w:rPr>
              <w:t>166</w:t>
            </w:r>
          </w:p>
        </w:tc>
        <w:tc>
          <w:tcPr>
            <w:tcW w:w="1860" w:type="dxa"/>
            <w:tcMar>
              <w:top w:w="0" w:type="dxa"/>
              <w:bottom w:w="0" w:type="dxa"/>
            </w:tcMar>
            <w:vAlign w:val="center"/>
          </w:tcPr>
          <w:p w14:paraId="03CC8158" w14:textId="77777777" w:rsidR="00355D0C" w:rsidRDefault="00000000">
            <w:pPr>
              <w:keepNext/>
              <w:keepLines/>
              <w:spacing w:after="0" w:line="240" w:lineRule="auto"/>
              <w:jc w:val="right"/>
            </w:pPr>
            <w:r>
              <w:rPr>
                <w:sz w:val="18"/>
              </w:rPr>
              <w:t>929.754,01</w:t>
            </w:r>
          </w:p>
        </w:tc>
        <w:tc>
          <w:tcPr>
            <w:tcW w:w="1860" w:type="dxa"/>
            <w:tcMar>
              <w:top w:w="0" w:type="dxa"/>
              <w:bottom w:w="0" w:type="dxa"/>
            </w:tcMar>
            <w:vAlign w:val="center"/>
          </w:tcPr>
          <w:p w14:paraId="578AC311" w14:textId="77777777" w:rsidR="00355D0C" w:rsidRDefault="00000000">
            <w:pPr>
              <w:keepNext/>
              <w:keepLines/>
              <w:spacing w:after="0" w:line="240" w:lineRule="auto"/>
              <w:jc w:val="right"/>
            </w:pPr>
            <w:r>
              <w:rPr>
                <w:sz w:val="18"/>
              </w:rPr>
              <w:t>838.918,39</w:t>
            </w:r>
          </w:p>
        </w:tc>
        <w:tc>
          <w:tcPr>
            <w:tcW w:w="700" w:type="dxa"/>
            <w:tcMar>
              <w:top w:w="0" w:type="dxa"/>
              <w:bottom w:w="0" w:type="dxa"/>
            </w:tcMar>
            <w:vAlign w:val="center"/>
          </w:tcPr>
          <w:p w14:paraId="016A4290" w14:textId="77777777" w:rsidR="00355D0C" w:rsidRDefault="00000000">
            <w:pPr>
              <w:keepNext/>
              <w:keepLines/>
              <w:spacing w:after="0" w:line="240" w:lineRule="auto"/>
              <w:jc w:val="right"/>
            </w:pPr>
            <w:r>
              <w:rPr>
                <w:sz w:val="18"/>
              </w:rPr>
              <w:t>90,2</w:t>
            </w:r>
          </w:p>
        </w:tc>
      </w:tr>
    </w:tbl>
    <w:p w14:paraId="5BA104EC" w14:textId="77777777" w:rsidR="00355D0C" w:rsidRDefault="00355D0C">
      <w:pPr>
        <w:spacing w:after="0"/>
      </w:pPr>
    </w:p>
    <w:p w14:paraId="4B46C726" w14:textId="77777777" w:rsidR="00355D0C" w:rsidRDefault="00000000">
      <w:r>
        <w:t>Potraživanja se odnose na potraživanja III. obroka od kupaca prema Ugovoru o obročnoj otplati koji kupuju stanove na više godina te na potraživanja od Zavoda za vještačenje, profesionalnu rehabilitaciju i zapošljavanje osoba sa invaliditetom za najam poslovnog prostora kojeg Agencija ima u svom vlasništvu.</w:t>
      </w:r>
    </w:p>
    <w:p w14:paraId="7552C87B" w14:textId="77777777" w:rsidR="00355D0C" w:rsidRDefault="00355D0C"/>
    <w:p w14:paraId="03E2020F" w14:textId="77777777" w:rsidR="00355D0C"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351B12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75B82B"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26FE60"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F9578E"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A0C2A5"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58088A"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4C4C62" w14:textId="77777777" w:rsidR="00355D0C" w:rsidRDefault="00000000">
            <w:pPr>
              <w:keepNext/>
              <w:keepLines/>
              <w:spacing w:after="0" w:line="240" w:lineRule="auto"/>
              <w:jc w:val="center"/>
            </w:pPr>
            <w:r>
              <w:rPr>
                <w:b/>
                <w:sz w:val="18"/>
              </w:rPr>
              <w:t>Indeks (%)</w:t>
            </w:r>
          </w:p>
        </w:tc>
      </w:tr>
      <w:tr w:rsidR="00355D0C" w14:paraId="72104FF1" w14:textId="77777777">
        <w:tblPrEx>
          <w:tblCellMar>
            <w:top w:w="0" w:type="dxa"/>
            <w:bottom w:w="0" w:type="dxa"/>
          </w:tblCellMar>
        </w:tblPrEx>
        <w:trPr>
          <w:cantSplit/>
          <w:trHeight w:val="560"/>
        </w:trPr>
        <w:tc>
          <w:tcPr>
            <w:tcW w:w="700" w:type="dxa"/>
            <w:tcMar>
              <w:top w:w="0" w:type="dxa"/>
              <w:bottom w:w="0" w:type="dxa"/>
            </w:tcMar>
            <w:vAlign w:val="center"/>
          </w:tcPr>
          <w:p w14:paraId="6AA3D24F" w14:textId="77777777" w:rsidR="00355D0C" w:rsidRDefault="00355D0C">
            <w:pPr>
              <w:keepNext/>
              <w:keepLines/>
              <w:spacing w:after="0" w:line="240" w:lineRule="auto"/>
            </w:pPr>
          </w:p>
        </w:tc>
        <w:tc>
          <w:tcPr>
            <w:tcW w:w="3180" w:type="dxa"/>
            <w:tcMar>
              <w:top w:w="0" w:type="dxa"/>
              <w:bottom w:w="0" w:type="dxa"/>
            </w:tcMar>
            <w:vAlign w:val="center"/>
          </w:tcPr>
          <w:p w14:paraId="29C82327" w14:textId="77777777" w:rsidR="00355D0C"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7DF94BB5" w14:textId="77777777" w:rsidR="00355D0C" w:rsidRDefault="00000000">
            <w:pPr>
              <w:keepNext/>
              <w:keepLines/>
              <w:spacing w:after="0" w:line="240" w:lineRule="auto"/>
            </w:pPr>
            <w:r>
              <w:rPr>
                <w:sz w:val="18"/>
              </w:rPr>
              <w:t>B003</w:t>
            </w:r>
          </w:p>
        </w:tc>
        <w:tc>
          <w:tcPr>
            <w:tcW w:w="1860" w:type="dxa"/>
            <w:tcMar>
              <w:top w:w="0" w:type="dxa"/>
              <w:bottom w:w="0" w:type="dxa"/>
            </w:tcMar>
            <w:vAlign w:val="center"/>
          </w:tcPr>
          <w:p w14:paraId="5FDA55F7" w14:textId="77777777" w:rsidR="00355D0C" w:rsidRDefault="00000000">
            <w:pPr>
              <w:keepNext/>
              <w:keepLines/>
              <w:spacing w:after="0" w:line="240" w:lineRule="auto"/>
              <w:jc w:val="right"/>
            </w:pPr>
            <w:r>
              <w:rPr>
                <w:sz w:val="18"/>
              </w:rPr>
              <w:t>1.425.675,23</w:t>
            </w:r>
          </w:p>
        </w:tc>
        <w:tc>
          <w:tcPr>
            <w:tcW w:w="1860" w:type="dxa"/>
            <w:tcMar>
              <w:top w:w="0" w:type="dxa"/>
              <w:bottom w:w="0" w:type="dxa"/>
            </w:tcMar>
            <w:vAlign w:val="center"/>
          </w:tcPr>
          <w:p w14:paraId="5620BE45" w14:textId="77777777" w:rsidR="00355D0C" w:rsidRDefault="00000000">
            <w:pPr>
              <w:keepNext/>
              <w:keepLines/>
              <w:spacing w:after="0" w:line="240" w:lineRule="auto"/>
              <w:jc w:val="right"/>
            </w:pPr>
            <w:r>
              <w:rPr>
                <w:sz w:val="18"/>
              </w:rPr>
              <w:t>1.287.069,39</w:t>
            </w:r>
          </w:p>
        </w:tc>
        <w:tc>
          <w:tcPr>
            <w:tcW w:w="700" w:type="dxa"/>
            <w:tcMar>
              <w:top w:w="0" w:type="dxa"/>
              <w:bottom w:w="0" w:type="dxa"/>
            </w:tcMar>
            <w:vAlign w:val="center"/>
          </w:tcPr>
          <w:p w14:paraId="4130393A" w14:textId="77777777" w:rsidR="00355D0C" w:rsidRDefault="00000000">
            <w:pPr>
              <w:keepNext/>
              <w:keepLines/>
              <w:spacing w:after="0" w:line="240" w:lineRule="auto"/>
              <w:jc w:val="right"/>
            </w:pPr>
            <w:r>
              <w:rPr>
                <w:sz w:val="18"/>
              </w:rPr>
              <w:t>90,3</w:t>
            </w:r>
          </w:p>
        </w:tc>
      </w:tr>
    </w:tbl>
    <w:p w14:paraId="76D7C3A3" w14:textId="77777777" w:rsidR="00355D0C" w:rsidRDefault="00355D0C">
      <w:pPr>
        <w:spacing w:after="0"/>
      </w:pPr>
    </w:p>
    <w:p w14:paraId="4E79446B" w14:textId="77777777" w:rsidR="00355D0C" w:rsidRDefault="00000000">
      <w:r>
        <w:t>Agencija je na dan 31.12.2025. godine imala nepodmirenih obveza u ukupnom navedenom iznosu. Obveze se odnose na obveze za plaću za prosinac 2025. godine koja je isplaćena u siječnju 2026. godine u iznosu od 5.422,71 eur, obveze za materijalne rashode u visini od 1.432,50 eura te ostale tekuće obveze u iznosu od 1.458,22 eura. Dugoročne obveze koje se sastoje od obveza za nabavu nefinancijske imovine (obveze za nabavu građevinskih objekata za daljnju prodaju (zaliha) za zemljište koje je nabavljeno za potrebe izgradnje stanova od Grada Koprivnice i obveza za povrat Agenciji za društveno poticanu stanogradnju Grada Koprivnici, a koje dospijevaju s otplatom III. obroka za sve izgrađene zgrade). Od ukupnih obveza dospjele obveze odnose se na plaćenu fakturu za webinar u iznosu od 106,25 eura dok su ukupne nedospjele obveze u iznosu od 488.474,63 eura (obrazac Obveze).</w:t>
      </w:r>
    </w:p>
    <w:p w14:paraId="1D428E9F" w14:textId="77777777" w:rsidR="00355D0C" w:rsidRDefault="00355D0C"/>
    <w:p w14:paraId="1D6623C2" w14:textId="77777777" w:rsidR="00355D0C"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2C2D0A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769394"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088741"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39B76F"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EE999"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948F57"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4BC0B8" w14:textId="77777777" w:rsidR="00355D0C" w:rsidRDefault="00000000">
            <w:pPr>
              <w:keepNext/>
              <w:keepLines/>
              <w:spacing w:after="0" w:line="240" w:lineRule="auto"/>
              <w:jc w:val="center"/>
            </w:pPr>
            <w:r>
              <w:rPr>
                <w:b/>
                <w:sz w:val="18"/>
              </w:rPr>
              <w:t>Indeks (%)</w:t>
            </w:r>
          </w:p>
        </w:tc>
      </w:tr>
      <w:tr w:rsidR="00355D0C" w14:paraId="6015609E" w14:textId="77777777">
        <w:tblPrEx>
          <w:tblCellMar>
            <w:top w:w="0" w:type="dxa"/>
            <w:bottom w:w="0" w:type="dxa"/>
          </w:tblCellMar>
        </w:tblPrEx>
        <w:trPr>
          <w:cantSplit/>
          <w:trHeight w:val="560"/>
        </w:trPr>
        <w:tc>
          <w:tcPr>
            <w:tcW w:w="700" w:type="dxa"/>
            <w:tcMar>
              <w:top w:w="0" w:type="dxa"/>
              <w:bottom w:w="0" w:type="dxa"/>
            </w:tcMar>
            <w:vAlign w:val="center"/>
          </w:tcPr>
          <w:p w14:paraId="56FC2217" w14:textId="77777777" w:rsidR="00355D0C" w:rsidRDefault="00000000">
            <w:pPr>
              <w:keepNext/>
              <w:keepLines/>
              <w:spacing w:after="0" w:line="240" w:lineRule="auto"/>
            </w:pPr>
            <w:r>
              <w:rPr>
                <w:sz w:val="18"/>
              </w:rPr>
              <w:t>2</w:t>
            </w:r>
          </w:p>
        </w:tc>
        <w:tc>
          <w:tcPr>
            <w:tcW w:w="3180" w:type="dxa"/>
            <w:tcMar>
              <w:top w:w="0" w:type="dxa"/>
              <w:bottom w:w="0" w:type="dxa"/>
            </w:tcMar>
            <w:vAlign w:val="center"/>
          </w:tcPr>
          <w:p w14:paraId="21B4A107" w14:textId="77777777" w:rsidR="00355D0C" w:rsidRDefault="00000000">
            <w:pPr>
              <w:keepNext/>
              <w:keepLines/>
              <w:spacing w:after="0" w:line="240" w:lineRule="auto"/>
            </w:pPr>
            <w:r>
              <w:rPr>
                <w:sz w:val="18"/>
              </w:rPr>
              <w:t>Obveze (šifre 23+24+25+26+27+29)</w:t>
            </w:r>
          </w:p>
        </w:tc>
        <w:tc>
          <w:tcPr>
            <w:tcW w:w="700" w:type="dxa"/>
            <w:tcMar>
              <w:top w:w="0" w:type="dxa"/>
              <w:bottom w:w="0" w:type="dxa"/>
            </w:tcMar>
            <w:vAlign w:val="center"/>
          </w:tcPr>
          <w:p w14:paraId="299246C3" w14:textId="77777777" w:rsidR="00355D0C" w:rsidRDefault="00000000">
            <w:pPr>
              <w:keepNext/>
              <w:keepLines/>
              <w:spacing w:after="0" w:line="240" w:lineRule="auto"/>
            </w:pPr>
            <w:r>
              <w:rPr>
                <w:sz w:val="18"/>
              </w:rPr>
              <w:t>2</w:t>
            </w:r>
          </w:p>
        </w:tc>
        <w:tc>
          <w:tcPr>
            <w:tcW w:w="1860" w:type="dxa"/>
            <w:tcMar>
              <w:top w:w="0" w:type="dxa"/>
              <w:bottom w:w="0" w:type="dxa"/>
            </w:tcMar>
            <w:vAlign w:val="center"/>
          </w:tcPr>
          <w:p w14:paraId="6BB169AC" w14:textId="77777777" w:rsidR="00355D0C" w:rsidRDefault="00000000">
            <w:pPr>
              <w:keepNext/>
              <w:keepLines/>
              <w:spacing w:after="0" w:line="240" w:lineRule="auto"/>
              <w:jc w:val="right"/>
            </w:pPr>
            <w:r>
              <w:rPr>
                <w:sz w:val="18"/>
              </w:rPr>
              <w:t>676.204,36</w:t>
            </w:r>
          </w:p>
        </w:tc>
        <w:tc>
          <w:tcPr>
            <w:tcW w:w="1860" w:type="dxa"/>
            <w:tcMar>
              <w:top w:w="0" w:type="dxa"/>
              <w:bottom w:w="0" w:type="dxa"/>
            </w:tcMar>
            <w:vAlign w:val="center"/>
          </w:tcPr>
          <w:p w14:paraId="102FEC97" w14:textId="77777777" w:rsidR="00355D0C" w:rsidRDefault="00000000">
            <w:pPr>
              <w:keepNext/>
              <w:keepLines/>
              <w:spacing w:after="0" w:line="240" w:lineRule="auto"/>
              <w:jc w:val="right"/>
            </w:pPr>
            <w:r>
              <w:rPr>
                <w:sz w:val="18"/>
              </w:rPr>
              <w:t>637.913,45</w:t>
            </w:r>
          </w:p>
        </w:tc>
        <w:tc>
          <w:tcPr>
            <w:tcW w:w="700" w:type="dxa"/>
            <w:tcMar>
              <w:top w:w="0" w:type="dxa"/>
              <w:bottom w:w="0" w:type="dxa"/>
            </w:tcMar>
            <w:vAlign w:val="center"/>
          </w:tcPr>
          <w:p w14:paraId="19940F23" w14:textId="77777777" w:rsidR="00355D0C" w:rsidRDefault="00000000">
            <w:pPr>
              <w:keepNext/>
              <w:keepLines/>
              <w:spacing w:after="0" w:line="240" w:lineRule="auto"/>
              <w:jc w:val="right"/>
            </w:pPr>
            <w:r>
              <w:rPr>
                <w:sz w:val="18"/>
              </w:rPr>
              <w:t>94,3</w:t>
            </w:r>
          </w:p>
        </w:tc>
      </w:tr>
    </w:tbl>
    <w:p w14:paraId="2F28825D" w14:textId="77777777" w:rsidR="00355D0C" w:rsidRDefault="00355D0C">
      <w:pPr>
        <w:spacing w:after="0"/>
      </w:pPr>
    </w:p>
    <w:p w14:paraId="401DF204" w14:textId="77777777" w:rsidR="00355D0C" w:rsidRDefault="00000000">
      <w:r>
        <w:lastRenderedPageBreak/>
        <w:t>Ukupne obveze se smanjuju s obzirom na stanje 1.siječnja zbog povrata sredstava za zemljište JLS-u prema Zakonu o POS-u. </w:t>
      </w:r>
    </w:p>
    <w:p w14:paraId="57DA6130" w14:textId="77777777" w:rsidR="00355D0C" w:rsidRDefault="00355D0C"/>
    <w:p w14:paraId="6FCF5131" w14:textId="77777777" w:rsidR="00355D0C"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330F80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6AAE12"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A4F0AF"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B2450F"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104856"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B3D6B2"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404121" w14:textId="77777777" w:rsidR="00355D0C" w:rsidRDefault="00000000">
            <w:pPr>
              <w:keepNext/>
              <w:keepLines/>
              <w:spacing w:after="0" w:line="240" w:lineRule="auto"/>
              <w:jc w:val="center"/>
            </w:pPr>
            <w:r>
              <w:rPr>
                <w:b/>
                <w:sz w:val="18"/>
              </w:rPr>
              <w:t>Indeks (%)</w:t>
            </w:r>
          </w:p>
        </w:tc>
      </w:tr>
      <w:tr w:rsidR="00355D0C" w14:paraId="41682405" w14:textId="77777777">
        <w:tblPrEx>
          <w:tblCellMar>
            <w:top w:w="0" w:type="dxa"/>
            <w:bottom w:w="0" w:type="dxa"/>
          </w:tblCellMar>
        </w:tblPrEx>
        <w:trPr>
          <w:cantSplit/>
          <w:trHeight w:val="560"/>
        </w:trPr>
        <w:tc>
          <w:tcPr>
            <w:tcW w:w="700" w:type="dxa"/>
            <w:tcMar>
              <w:top w:w="0" w:type="dxa"/>
              <w:bottom w:w="0" w:type="dxa"/>
            </w:tcMar>
            <w:vAlign w:val="center"/>
          </w:tcPr>
          <w:p w14:paraId="74BBF614" w14:textId="77777777" w:rsidR="00355D0C" w:rsidRDefault="00000000">
            <w:pPr>
              <w:keepNext/>
              <w:keepLines/>
              <w:spacing w:after="0" w:line="240" w:lineRule="auto"/>
            </w:pPr>
            <w:r>
              <w:rPr>
                <w:sz w:val="18"/>
              </w:rPr>
              <w:t>23</w:t>
            </w:r>
          </w:p>
        </w:tc>
        <w:tc>
          <w:tcPr>
            <w:tcW w:w="3180" w:type="dxa"/>
            <w:tcMar>
              <w:top w:w="0" w:type="dxa"/>
              <w:bottom w:w="0" w:type="dxa"/>
            </w:tcMar>
            <w:vAlign w:val="center"/>
          </w:tcPr>
          <w:p w14:paraId="69DC40FE" w14:textId="77777777" w:rsidR="00355D0C"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41B6477C" w14:textId="77777777" w:rsidR="00355D0C" w:rsidRDefault="00000000">
            <w:pPr>
              <w:keepNext/>
              <w:keepLines/>
              <w:spacing w:after="0" w:line="240" w:lineRule="auto"/>
            </w:pPr>
            <w:r>
              <w:rPr>
                <w:sz w:val="18"/>
              </w:rPr>
              <w:t>23</w:t>
            </w:r>
          </w:p>
        </w:tc>
        <w:tc>
          <w:tcPr>
            <w:tcW w:w="1860" w:type="dxa"/>
            <w:tcMar>
              <w:top w:w="0" w:type="dxa"/>
              <w:bottom w:w="0" w:type="dxa"/>
            </w:tcMar>
            <w:vAlign w:val="center"/>
          </w:tcPr>
          <w:p w14:paraId="08E13984" w14:textId="77777777" w:rsidR="00355D0C" w:rsidRDefault="00000000">
            <w:pPr>
              <w:keepNext/>
              <w:keepLines/>
              <w:spacing w:after="0" w:line="240" w:lineRule="auto"/>
              <w:jc w:val="right"/>
            </w:pPr>
            <w:r>
              <w:rPr>
                <w:sz w:val="18"/>
              </w:rPr>
              <w:t>8.065,95</w:t>
            </w:r>
          </w:p>
        </w:tc>
        <w:tc>
          <w:tcPr>
            <w:tcW w:w="1860" w:type="dxa"/>
            <w:tcMar>
              <w:top w:w="0" w:type="dxa"/>
              <w:bottom w:w="0" w:type="dxa"/>
            </w:tcMar>
            <w:vAlign w:val="center"/>
          </w:tcPr>
          <w:p w14:paraId="43682BC9" w14:textId="77777777" w:rsidR="00355D0C" w:rsidRDefault="00000000">
            <w:pPr>
              <w:keepNext/>
              <w:keepLines/>
              <w:spacing w:after="0" w:line="240" w:lineRule="auto"/>
              <w:jc w:val="right"/>
            </w:pPr>
            <w:r>
              <w:rPr>
                <w:sz w:val="18"/>
              </w:rPr>
              <w:t>8.313,43</w:t>
            </w:r>
          </w:p>
        </w:tc>
        <w:tc>
          <w:tcPr>
            <w:tcW w:w="700" w:type="dxa"/>
            <w:tcMar>
              <w:top w:w="0" w:type="dxa"/>
              <w:bottom w:w="0" w:type="dxa"/>
            </w:tcMar>
            <w:vAlign w:val="center"/>
          </w:tcPr>
          <w:p w14:paraId="0E6485A8" w14:textId="77777777" w:rsidR="00355D0C" w:rsidRDefault="00000000">
            <w:pPr>
              <w:keepNext/>
              <w:keepLines/>
              <w:spacing w:after="0" w:line="240" w:lineRule="auto"/>
              <w:jc w:val="right"/>
            </w:pPr>
            <w:r>
              <w:rPr>
                <w:sz w:val="18"/>
              </w:rPr>
              <w:t>103,1</w:t>
            </w:r>
          </w:p>
        </w:tc>
      </w:tr>
    </w:tbl>
    <w:p w14:paraId="533AB12D" w14:textId="77777777" w:rsidR="00355D0C" w:rsidRDefault="00355D0C">
      <w:pPr>
        <w:spacing w:after="0"/>
      </w:pPr>
    </w:p>
    <w:p w14:paraId="0DABF1A1" w14:textId="77777777" w:rsidR="00355D0C" w:rsidRDefault="00000000">
      <w:r>
        <w:t>Obveze za rashode poslovanja uključuju obveze za zaposlene (plaće, doprinosi), obveze za materijalne rashode (putni troškovi, stručno usavršavanje zaposlenika, rashodi za materijal i energiju, sitni inventar, usluge telefona i pošte, komunalne usluge, zakupnine i najamnine, naknade za rad predstavničkih tijela, premija osiguranja i pristojbe i naknade).</w:t>
      </w:r>
    </w:p>
    <w:p w14:paraId="18615EA5" w14:textId="77777777" w:rsidR="00355D0C" w:rsidRDefault="00000000">
      <w:r>
        <w:t>Ostale tekuće obveze uključuju porez na dodanu vrijednost te ostale nespomenute obveze.</w:t>
      </w:r>
    </w:p>
    <w:p w14:paraId="6A789969" w14:textId="77777777" w:rsidR="00355D0C" w:rsidRDefault="00355D0C"/>
    <w:p w14:paraId="2FA23733" w14:textId="77777777" w:rsidR="00355D0C"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727F72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2C6223"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BDC4EA"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380393"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EDEB93"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736A0D"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B8541C" w14:textId="77777777" w:rsidR="00355D0C" w:rsidRDefault="00000000">
            <w:pPr>
              <w:keepNext/>
              <w:keepLines/>
              <w:spacing w:after="0" w:line="240" w:lineRule="auto"/>
              <w:jc w:val="center"/>
            </w:pPr>
            <w:r>
              <w:rPr>
                <w:b/>
                <w:sz w:val="18"/>
              </w:rPr>
              <w:t>Indeks (%)</w:t>
            </w:r>
          </w:p>
        </w:tc>
      </w:tr>
      <w:tr w:rsidR="00355D0C" w14:paraId="7DD7A6C4" w14:textId="77777777">
        <w:tblPrEx>
          <w:tblCellMar>
            <w:top w:w="0" w:type="dxa"/>
            <w:bottom w:w="0" w:type="dxa"/>
          </w:tblCellMar>
        </w:tblPrEx>
        <w:trPr>
          <w:cantSplit/>
          <w:trHeight w:val="560"/>
        </w:trPr>
        <w:tc>
          <w:tcPr>
            <w:tcW w:w="700" w:type="dxa"/>
            <w:tcMar>
              <w:top w:w="0" w:type="dxa"/>
              <w:bottom w:w="0" w:type="dxa"/>
            </w:tcMar>
            <w:vAlign w:val="center"/>
          </w:tcPr>
          <w:p w14:paraId="1E5527D9" w14:textId="77777777" w:rsidR="00355D0C" w:rsidRDefault="00000000">
            <w:pPr>
              <w:keepNext/>
              <w:keepLines/>
              <w:spacing w:after="0" w:line="240" w:lineRule="auto"/>
            </w:pPr>
            <w:r>
              <w:rPr>
                <w:sz w:val="18"/>
              </w:rPr>
              <w:t>239</w:t>
            </w:r>
          </w:p>
        </w:tc>
        <w:tc>
          <w:tcPr>
            <w:tcW w:w="3180" w:type="dxa"/>
            <w:tcMar>
              <w:top w:w="0" w:type="dxa"/>
              <w:bottom w:w="0" w:type="dxa"/>
            </w:tcMar>
            <w:vAlign w:val="center"/>
          </w:tcPr>
          <w:p w14:paraId="43E6737E" w14:textId="77777777" w:rsidR="00355D0C" w:rsidRDefault="00000000">
            <w:pPr>
              <w:keepNext/>
              <w:keepLines/>
              <w:spacing w:after="0" w:line="240" w:lineRule="auto"/>
            </w:pPr>
            <w:r>
              <w:rPr>
                <w:sz w:val="18"/>
              </w:rPr>
              <w:t>Ostale tekuće obveze</w:t>
            </w:r>
          </w:p>
        </w:tc>
        <w:tc>
          <w:tcPr>
            <w:tcW w:w="700" w:type="dxa"/>
            <w:tcMar>
              <w:top w:w="0" w:type="dxa"/>
              <w:bottom w:w="0" w:type="dxa"/>
            </w:tcMar>
            <w:vAlign w:val="center"/>
          </w:tcPr>
          <w:p w14:paraId="7AE9836F" w14:textId="77777777" w:rsidR="00355D0C" w:rsidRDefault="00000000">
            <w:pPr>
              <w:keepNext/>
              <w:keepLines/>
              <w:spacing w:after="0" w:line="240" w:lineRule="auto"/>
            </w:pPr>
            <w:r>
              <w:rPr>
                <w:sz w:val="18"/>
              </w:rPr>
              <w:t>239</w:t>
            </w:r>
          </w:p>
        </w:tc>
        <w:tc>
          <w:tcPr>
            <w:tcW w:w="1860" w:type="dxa"/>
            <w:tcMar>
              <w:top w:w="0" w:type="dxa"/>
              <w:bottom w:w="0" w:type="dxa"/>
            </w:tcMar>
            <w:vAlign w:val="center"/>
          </w:tcPr>
          <w:p w14:paraId="6B643148" w14:textId="77777777" w:rsidR="00355D0C" w:rsidRDefault="00000000">
            <w:pPr>
              <w:keepNext/>
              <w:keepLines/>
              <w:spacing w:after="0" w:line="240" w:lineRule="auto"/>
              <w:jc w:val="right"/>
            </w:pPr>
            <w:r>
              <w:rPr>
                <w:sz w:val="18"/>
              </w:rPr>
              <w:t>1.527,23</w:t>
            </w:r>
          </w:p>
        </w:tc>
        <w:tc>
          <w:tcPr>
            <w:tcW w:w="1860" w:type="dxa"/>
            <w:tcMar>
              <w:top w:w="0" w:type="dxa"/>
              <w:bottom w:w="0" w:type="dxa"/>
            </w:tcMar>
            <w:vAlign w:val="center"/>
          </w:tcPr>
          <w:p w14:paraId="7DC39003" w14:textId="77777777" w:rsidR="00355D0C" w:rsidRDefault="00000000">
            <w:pPr>
              <w:keepNext/>
              <w:keepLines/>
              <w:spacing w:after="0" w:line="240" w:lineRule="auto"/>
              <w:jc w:val="right"/>
            </w:pPr>
            <w:r>
              <w:rPr>
                <w:sz w:val="18"/>
              </w:rPr>
              <w:t>1.458,22</w:t>
            </w:r>
          </w:p>
        </w:tc>
        <w:tc>
          <w:tcPr>
            <w:tcW w:w="700" w:type="dxa"/>
            <w:tcMar>
              <w:top w:w="0" w:type="dxa"/>
              <w:bottom w:w="0" w:type="dxa"/>
            </w:tcMar>
            <w:vAlign w:val="center"/>
          </w:tcPr>
          <w:p w14:paraId="5278C2D7" w14:textId="77777777" w:rsidR="00355D0C" w:rsidRDefault="00000000">
            <w:pPr>
              <w:keepNext/>
              <w:keepLines/>
              <w:spacing w:after="0" w:line="240" w:lineRule="auto"/>
              <w:jc w:val="right"/>
            </w:pPr>
            <w:r>
              <w:rPr>
                <w:sz w:val="18"/>
              </w:rPr>
              <w:t>95,5</w:t>
            </w:r>
          </w:p>
        </w:tc>
      </w:tr>
    </w:tbl>
    <w:p w14:paraId="5525A649" w14:textId="77777777" w:rsidR="00355D0C" w:rsidRDefault="00355D0C">
      <w:pPr>
        <w:spacing w:after="0"/>
      </w:pPr>
    </w:p>
    <w:p w14:paraId="20692CBE" w14:textId="77777777" w:rsidR="00355D0C" w:rsidRDefault="00000000">
      <w:r>
        <w:t>Ovaj konto sadrži obveze za porez na dodanu vrijednost.</w:t>
      </w:r>
    </w:p>
    <w:p w14:paraId="7DE62FEA" w14:textId="77777777" w:rsidR="00355D0C" w:rsidRDefault="00355D0C"/>
    <w:p w14:paraId="02C91B5F" w14:textId="77777777" w:rsidR="00355D0C"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42FDD8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2BCC9F"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55EA0C"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00A9B2"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7AFB9C"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1389BB"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97A0BA" w14:textId="77777777" w:rsidR="00355D0C" w:rsidRDefault="00000000">
            <w:pPr>
              <w:keepNext/>
              <w:keepLines/>
              <w:spacing w:after="0" w:line="240" w:lineRule="auto"/>
              <w:jc w:val="center"/>
            </w:pPr>
            <w:r>
              <w:rPr>
                <w:b/>
                <w:sz w:val="18"/>
              </w:rPr>
              <w:t>Indeks (%)</w:t>
            </w:r>
          </w:p>
        </w:tc>
      </w:tr>
      <w:tr w:rsidR="00355D0C" w14:paraId="7AADFBDD" w14:textId="77777777">
        <w:tblPrEx>
          <w:tblCellMar>
            <w:top w:w="0" w:type="dxa"/>
            <w:bottom w:w="0" w:type="dxa"/>
          </w:tblCellMar>
        </w:tblPrEx>
        <w:trPr>
          <w:cantSplit/>
          <w:trHeight w:val="560"/>
        </w:trPr>
        <w:tc>
          <w:tcPr>
            <w:tcW w:w="700" w:type="dxa"/>
            <w:tcMar>
              <w:top w:w="0" w:type="dxa"/>
              <w:bottom w:w="0" w:type="dxa"/>
            </w:tcMar>
            <w:vAlign w:val="center"/>
          </w:tcPr>
          <w:p w14:paraId="1F6AC43E" w14:textId="77777777" w:rsidR="00355D0C" w:rsidRDefault="00000000">
            <w:pPr>
              <w:keepNext/>
              <w:keepLines/>
              <w:spacing w:after="0" w:line="240" w:lineRule="auto"/>
            </w:pPr>
            <w:r>
              <w:rPr>
                <w:sz w:val="18"/>
              </w:rPr>
              <w:t>24</w:t>
            </w:r>
          </w:p>
        </w:tc>
        <w:tc>
          <w:tcPr>
            <w:tcW w:w="3180" w:type="dxa"/>
            <w:tcMar>
              <w:top w:w="0" w:type="dxa"/>
              <w:bottom w:w="0" w:type="dxa"/>
            </w:tcMar>
            <w:vAlign w:val="center"/>
          </w:tcPr>
          <w:p w14:paraId="5DF73884" w14:textId="77777777" w:rsidR="00355D0C"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7040106B" w14:textId="77777777" w:rsidR="00355D0C" w:rsidRDefault="00000000">
            <w:pPr>
              <w:keepNext/>
              <w:keepLines/>
              <w:spacing w:after="0" w:line="240" w:lineRule="auto"/>
            </w:pPr>
            <w:r>
              <w:rPr>
                <w:sz w:val="18"/>
              </w:rPr>
              <w:t>24</w:t>
            </w:r>
          </w:p>
        </w:tc>
        <w:tc>
          <w:tcPr>
            <w:tcW w:w="1860" w:type="dxa"/>
            <w:tcMar>
              <w:top w:w="0" w:type="dxa"/>
              <w:bottom w:w="0" w:type="dxa"/>
            </w:tcMar>
            <w:vAlign w:val="center"/>
          </w:tcPr>
          <w:p w14:paraId="64C2CB5C" w14:textId="77777777" w:rsidR="00355D0C" w:rsidRDefault="00000000">
            <w:pPr>
              <w:keepNext/>
              <w:keepLines/>
              <w:spacing w:after="0" w:line="240" w:lineRule="auto"/>
              <w:jc w:val="right"/>
            </w:pPr>
            <w:r>
              <w:rPr>
                <w:sz w:val="18"/>
              </w:rPr>
              <w:t>490.844,17</w:t>
            </w:r>
          </w:p>
        </w:tc>
        <w:tc>
          <w:tcPr>
            <w:tcW w:w="1860" w:type="dxa"/>
            <w:tcMar>
              <w:top w:w="0" w:type="dxa"/>
              <w:bottom w:w="0" w:type="dxa"/>
            </w:tcMar>
            <w:vAlign w:val="center"/>
          </w:tcPr>
          <w:p w14:paraId="2000773E" w14:textId="77777777" w:rsidR="00355D0C" w:rsidRDefault="00000000">
            <w:pPr>
              <w:keepNext/>
              <w:keepLines/>
              <w:spacing w:after="0" w:line="240" w:lineRule="auto"/>
              <w:jc w:val="right"/>
            </w:pPr>
            <w:r>
              <w:rPr>
                <w:sz w:val="18"/>
              </w:rPr>
              <w:t>480.161,20</w:t>
            </w:r>
          </w:p>
        </w:tc>
        <w:tc>
          <w:tcPr>
            <w:tcW w:w="700" w:type="dxa"/>
            <w:tcMar>
              <w:top w:w="0" w:type="dxa"/>
              <w:bottom w:w="0" w:type="dxa"/>
            </w:tcMar>
            <w:vAlign w:val="center"/>
          </w:tcPr>
          <w:p w14:paraId="4CEB51CD" w14:textId="77777777" w:rsidR="00355D0C" w:rsidRDefault="00000000">
            <w:pPr>
              <w:keepNext/>
              <w:keepLines/>
              <w:spacing w:after="0" w:line="240" w:lineRule="auto"/>
              <w:jc w:val="right"/>
            </w:pPr>
            <w:r>
              <w:rPr>
                <w:sz w:val="18"/>
              </w:rPr>
              <w:t>97,8</w:t>
            </w:r>
          </w:p>
        </w:tc>
      </w:tr>
    </w:tbl>
    <w:p w14:paraId="7FA437AE" w14:textId="77777777" w:rsidR="00355D0C" w:rsidRDefault="00355D0C">
      <w:pPr>
        <w:spacing w:after="0"/>
      </w:pPr>
    </w:p>
    <w:p w14:paraId="59F90BB7" w14:textId="77777777" w:rsidR="00355D0C" w:rsidRDefault="00000000">
      <w:r>
        <w:t>Iskazani saldo odnosi se na obveze za nabavu zemljišta za izgradnju stanova prema Zakonu o društveno poticanoj stanogradnji  koja su kupljena od Grada Koprivnice. Obveza sa konta 24 prebacuje se na konto 27, u dijelu koji se odnosi na dospijeće plaćanja unutar jedne godine, dok preostali dio obveza prema Gradu Koprivnici ostaje na kontu 24.</w:t>
      </w:r>
    </w:p>
    <w:p w14:paraId="42434EE9" w14:textId="77777777" w:rsidR="00355D0C" w:rsidRDefault="00355D0C"/>
    <w:p w14:paraId="2B371BE9" w14:textId="77777777" w:rsidR="00355D0C"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12CB73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367642"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63C028"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CF93E1"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8CDF2"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B18106"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AFA14A" w14:textId="77777777" w:rsidR="00355D0C" w:rsidRDefault="00000000">
            <w:pPr>
              <w:keepNext/>
              <w:keepLines/>
              <w:spacing w:after="0" w:line="240" w:lineRule="auto"/>
              <w:jc w:val="center"/>
            </w:pPr>
            <w:r>
              <w:rPr>
                <w:b/>
                <w:sz w:val="18"/>
              </w:rPr>
              <w:t>Indeks (%)</w:t>
            </w:r>
          </w:p>
        </w:tc>
      </w:tr>
      <w:tr w:rsidR="00355D0C" w14:paraId="4564E70C" w14:textId="77777777">
        <w:tblPrEx>
          <w:tblCellMar>
            <w:top w:w="0" w:type="dxa"/>
            <w:bottom w:w="0" w:type="dxa"/>
          </w:tblCellMar>
        </w:tblPrEx>
        <w:trPr>
          <w:cantSplit/>
          <w:trHeight w:val="560"/>
        </w:trPr>
        <w:tc>
          <w:tcPr>
            <w:tcW w:w="700" w:type="dxa"/>
            <w:tcMar>
              <w:top w:w="0" w:type="dxa"/>
              <w:bottom w:w="0" w:type="dxa"/>
            </w:tcMar>
            <w:vAlign w:val="center"/>
          </w:tcPr>
          <w:p w14:paraId="220C1A92" w14:textId="77777777" w:rsidR="00355D0C" w:rsidRDefault="00000000">
            <w:pPr>
              <w:keepNext/>
              <w:keepLines/>
              <w:spacing w:after="0" w:line="240" w:lineRule="auto"/>
            </w:pPr>
            <w:r>
              <w:rPr>
                <w:sz w:val="18"/>
              </w:rPr>
              <w:t>27</w:t>
            </w:r>
          </w:p>
        </w:tc>
        <w:tc>
          <w:tcPr>
            <w:tcW w:w="3180" w:type="dxa"/>
            <w:tcMar>
              <w:top w:w="0" w:type="dxa"/>
              <w:bottom w:w="0" w:type="dxa"/>
            </w:tcMar>
            <w:vAlign w:val="center"/>
          </w:tcPr>
          <w:p w14:paraId="45641041" w14:textId="77777777" w:rsidR="00355D0C"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AD076D0" w14:textId="77777777" w:rsidR="00355D0C" w:rsidRDefault="00000000">
            <w:pPr>
              <w:keepNext/>
              <w:keepLines/>
              <w:spacing w:after="0" w:line="240" w:lineRule="auto"/>
            </w:pPr>
            <w:r>
              <w:rPr>
                <w:sz w:val="18"/>
              </w:rPr>
              <w:t>27</w:t>
            </w:r>
          </w:p>
        </w:tc>
        <w:tc>
          <w:tcPr>
            <w:tcW w:w="1860" w:type="dxa"/>
            <w:tcMar>
              <w:top w:w="0" w:type="dxa"/>
              <w:bottom w:w="0" w:type="dxa"/>
            </w:tcMar>
            <w:vAlign w:val="center"/>
          </w:tcPr>
          <w:p w14:paraId="1A6AE44E" w14:textId="77777777" w:rsidR="00355D0C" w:rsidRDefault="00000000">
            <w:pPr>
              <w:keepNext/>
              <w:keepLines/>
              <w:spacing w:after="0" w:line="240" w:lineRule="auto"/>
              <w:jc w:val="right"/>
            </w:pPr>
            <w:r>
              <w:rPr>
                <w:sz w:val="18"/>
              </w:rPr>
              <w:t>177.294,24</w:t>
            </w:r>
          </w:p>
        </w:tc>
        <w:tc>
          <w:tcPr>
            <w:tcW w:w="1860" w:type="dxa"/>
            <w:tcMar>
              <w:top w:w="0" w:type="dxa"/>
              <w:bottom w:w="0" w:type="dxa"/>
            </w:tcMar>
            <w:vAlign w:val="center"/>
          </w:tcPr>
          <w:p w14:paraId="11C5368B" w14:textId="77777777" w:rsidR="00355D0C" w:rsidRDefault="00000000">
            <w:pPr>
              <w:keepNext/>
              <w:keepLines/>
              <w:spacing w:after="0" w:line="240" w:lineRule="auto"/>
              <w:jc w:val="right"/>
            </w:pPr>
            <w:r>
              <w:rPr>
                <w:sz w:val="18"/>
              </w:rPr>
              <w:t>149.438,82</w:t>
            </w:r>
          </w:p>
        </w:tc>
        <w:tc>
          <w:tcPr>
            <w:tcW w:w="700" w:type="dxa"/>
            <w:tcMar>
              <w:top w:w="0" w:type="dxa"/>
              <w:bottom w:w="0" w:type="dxa"/>
            </w:tcMar>
            <w:vAlign w:val="center"/>
          </w:tcPr>
          <w:p w14:paraId="55CA1A6F" w14:textId="77777777" w:rsidR="00355D0C" w:rsidRDefault="00000000">
            <w:pPr>
              <w:keepNext/>
              <w:keepLines/>
              <w:spacing w:after="0" w:line="240" w:lineRule="auto"/>
              <w:jc w:val="right"/>
            </w:pPr>
            <w:r>
              <w:rPr>
                <w:sz w:val="18"/>
              </w:rPr>
              <w:t>84,3</w:t>
            </w:r>
          </w:p>
        </w:tc>
      </w:tr>
    </w:tbl>
    <w:p w14:paraId="4B007F37" w14:textId="77777777" w:rsidR="00355D0C" w:rsidRDefault="00355D0C">
      <w:pPr>
        <w:spacing w:after="0"/>
      </w:pPr>
    </w:p>
    <w:p w14:paraId="6D1D423C" w14:textId="77777777" w:rsidR="00355D0C" w:rsidRDefault="00000000">
      <w:r>
        <w:t>Stanje na dan 31.12.2024. godine na osnovnom računu 23958 bilo je potrebno prenijeti u početno stanje 1.1.2025. godine na odgovarajuće osnovne račune u okviru skupine 27. Slijedom navedene izmjene na ovom kontu je iskazano stanje svih pripadajućih osnovnih računa iz skupine 27.</w:t>
      </w:r>
    </w:p>
    <w:p w14:paraId="1682EF29" w14:textId="77777777" w:rsidR="00355D0C" w:rsidRDefault="00000000">
      <w:r>
        <w:t>Na ovom kontu je iskazan saldo za obveze Agencije za povrat u proračun Grada Koprivnice.</w:t>
      </w:r>
    </w:p>
    <w:p w14:paraId="381DB902" w14:textId="77777777" w:rsidR="00355D0C" w:rsidRDefault="00355D0C"/>
    <w:p w14:paraId="674F55A5" w14:textId="77777777" w:rsidR="00355D0C"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285E12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958590"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31D15C"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398D6B"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F2F0ED"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1190A1"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E67D34" w14:textId="77777777" w:rsidR="00355D0C" w:rsidRDefault="00000000">
            <w:pPr>
              <w:keepNext/>
              <w:keepLines/>
              <w:spacing w:after="0" w:line="240" w:lineRule="auto"/>
              <w:jc w:val="center"/>
            </w:pPr>
            <w:r>
              <w:rPr>
                <w:b/>
                <w:sz w:val="18"/>
              </w:rPr>
              <w:t>Indeks (%)</w:t>
            </w:r>
          </w:p>
        </w:tc>
      </w:tr>
      <w:tr w:rsidR="00355D0C" w14:paraId="47C1B61F" w14:textId="77777777">
        <w:tblPrEx>
          <w:tblCellMar>
            <w:top w:w="0" w:type="dxa"/>
            <w:bottom w:w="0" w:type="dxa"/>
          </w:tblCellMar>
        </w:tblPrEx>
        <w:trPr>
          <w:cantSplit/>
          <w:trHeight w:val="560"/>
        </w:trPr>
        <w:tc>
          <w:tcPr>
            <w:tcW w:w="700" w:type="dxa"/>
            <w:tcMar>
              <w:top w:w="0" w:type="dxa"/>
              <w:bottom w:w="0" w:type="dxa"/>
            </w:tcMar>
            <w:vAlign w:val="center"/>
          </w:tcPr>
          <w:p w14:paraId="3BF98854" w14:textId="77777777" w:rsidR="00355D0C" w:rsidRDefault="00000000">
            <w:pPr>
              <w:keepNext/>
              <w:keepLines/>
              <w:spacing w:after="0" w:line="240" w:lineRule="auto"/>
            </w:pPr>
            <w:r>
              <w:rPr>
                <w:sz w:val="18"/>
              </w:rPr>
              <w:t>922</w:t>
            </w:r>
          </w:p>
        </w:tc>
        <w:tc>
          <w:tcPr>
            <w:tcW w:w="3180" w:type="dxa"/>
            <w:tcMar>
              <w:top w:w="0" w:type="dxa"/>
              <w:bottom w:w="0" w:type="dxa"/>
            </w:tcMar>
            <w:vAlign w:val="center"/>
          </w:tcPr>
          <w:p w14:paraId="6EEFDCB3" w14:textId="77777777" w:rsidR="00355D0C"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02F2A53C" w14:textId="77777777" w:rsidR="00355D0C" w:rsidRDefault="00000000">
            <w:pPr>
              <w:keepNext/>
              <w:keepLines/>
              <w:spacing w:after="0" w:line="240" w:lineRule="auto"/>
            </w:pPr>
            <w:r>
              <w:rPr>
                <w:sz w:val="18"/>
              </w:rPr>
              <w:t>922</w:t>
            </w:r>
          </w:p>
        </w:tc>
        <w:tc>
          <w:tcPr>
            <w:tcW w:w="1860" w:type="dxa"/>
            <w:tcMar>
              <w:top w:w="0" w:type="dxa"/>
              <w:bottom w:w="0" w:type="dxa"/>
            </w:tcMar>
            <w:vAlign w:val="center"/>
          </w:tcPr>
          <w:p w14:paraId="31B998FC" w14:textId="77777777" w:rsidR="00355D0C" w:rsidRDefault="00000000">
            <w:pPr>
              <w:keepNext/>
              <w:keepLines/>
              <w:spacing w:after="0" w:line="240" w:lineRule="auto"/>
              <w:jc w:val="right"/>
            </w:pPr>
            <w:r>
              <w:rPr>
                <w:sz w:val="18"/>
              </w:rPr>
              <w:t>221.169,73</w:t>
            </w:r>
          </w:p>
        </w:tc>
        <w:tc>
          <w:tcPr>
            <w:tcW w:w="1860" w:type="dxa"/>
            <w:tcMar>
              <w:top w:w="0" w:type="dxa"/>
              <w:bottom w:w="0" w:type="dxa"/>
            </w:tcMar>
            <w:vAlign w:val="center"/>
          </w:tcPr>
          <w:p w14:paraId="382EB924" w14:textId="77777777" w:rsidR="00355D0C" w:rsidRDefault="00000000">
            <w:pPr>
              <w:keepNext/>
              <w:keepLines/>
              <w:spacing w:after="0" w:line="240" w:lineRule="auto"/>
              <w:jc w:val="right"/>
            </w:pPr>
            <w:r>
              <w:rPr>
                <w:sz w:val="18"/>
              </w:rPr>
              <w:t>304.925,38</w:t>
            </w:r>
          </w:p>
        </w:tc>
        <w:tc>
          <w:tcPr>
            <w:tcW w:w="700" w:type="dxa"/>
            <w:tcMar>
              <w:top w:w="0" w:type="dxa"/>
              <w:bottom w:w="0" w:type="dxa"/>
            </w:tcMar>
            <w:vAlign w:val="center"/>
          </w:tcPr>
          <w:p w14:paraId="73817065" w14:textId="77777777" w:rsidR="00355D0C" w:rsidRDefault="00000000">
            <w:pPr>
              <w:keepNext/>
              <w:keepLines/>
              <w:spacing w:after="0" w:line="240" w:lineRule="auto"/>
              <w:jc w:val="right"/>
            </w:pPr>
            <w:r>
              <w:rPr>
                <w:sz w:val="18"/>
              </w:rPr>
              <w:t>137,9</w:t>
            </w:r>
          </w:p>
        </w:tc>
      </w:tr>
    </w:tbl>
    <w:p w14:paraId="6D749E99" w14:textId="77777777" w:rsidR="00355D0C" w:rsidRDefault="00355D0C">
      <w:pPr>
        <w:spacing w:after="0"/>
      </w:pPr>
    </w:p>
    <w:p w14:paraId="2DF53D88" w14:textId="77777777" w:rsidR="00355D0C" w:rsidRDefault="00000000">
      <w:r>
        <w:t>Kao što je navedeno u obrascu PR-RAS, nakon ispravka obračunatih prihoda gdje je utvrđeno da je knjižena glavnica prije kamate za vrijeme počeka sadržavala PDV u III. obroku koji je dio izdanog računa kupcu sa PDV-om bilo je potrebno ispraviti dio PDV-a koji se odnosi na dio PDV-a u III. obroku te za isti iznos povećati stanje viška. Nakon obračuna prihoda i rashoda koji su znatno veći i nakon korekcije potraživanja navedeni iznos je raspoloživ u sljedećem razdoblju.</w:t>
      </w:r>
    </w:p>
    <w:p w14:paraId="34465E41" w14:textId="77777777" w:rsidR="00355D0C" w:rsidRDefault="00355D0C"/>
    <w:p w14:paraId="0A9AA0E9" w14:textId="77777777" w:rsidR="00355D0C"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10C708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1BAE15"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F2589B"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3E319D"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021ED0"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64F60B"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3FCDCE" w14:textId="77777777" w:rsidR="00355D0C" w:rsidRDefault="00000000">
            <w:pPr>
              <w:keepNext/>
              <w:keepLines/>
              <w:spacing w:after="0" w:line="240" w:lineRule="auto"/>
              <w:jc w:val="center"/>
            </w:pPr>
            <w:r>
              <w:rPr>
                <w:b/>
                <w:sz w:val="18"/>
              </w:rPr>
              <w:t>Indeks (%)</w:t>
            </w:r>
          </w:p>
        </w:tc>
      </w:tr>
      <w:tr w:rsidR="00355D0C" w14:paraId="066C0F7B" w14:textId="77777777">
        <w:tblPrEx>
          <w:tblCellMar>
            <w:top w:w="0" w:type="dxa"/>
            <w:bottom w:w="0" w:type="dxa"/>
          </w:tblCellMar>
        </w:tblPrEx>
        <w:trPr>
          <w:cantSplit/>
          <w:trHeight w:val="560"/>
        </w:trPr>
        <w:tc>
          <w:tcPr>
            <w:tcW w:w="700" w:type="dxa"/>
            <w:tcMar>
              <w:top w:w="0" w:type="dxa"/>
              <w:bottom w:w="0" w:type="dxa"/>
            </w:tcMar>
            <w:vAlign w:val="center"/>
          </w:tcPr>
          <w:p w14:paraId="3E8E334C" w14:textId="77777777" w:rsidR="00355D0C" w:rsidRDefault="00000000">
            <w:pPr>
              <w:keepNext/>
              <w:keepLines/>
              <w:spacing w:after="0" w:line="240" w:lineRule="auto"/>
            </w:pPr>
            <w:r>
              <w:rPr>
                <w:sz w:val="18"/>
              </w:rPr>
              <w:t>96</w:t>
            </w:r>
          </w:p>
        </w:tc>
        <w:tc>
          <w:tcPr>
            <w:tcW w:w="3180" w:type="dxa"/>
            <w:tcMar>
              <w:top w:w="0" w:type="dxa"/>
              <w:bottom w:w="0" w:type="dxa"/>
            </w:tcMar>
            <w:vAlign w:val="center"/>
          </w:tcPr>
          <w:p w14:paraId="7052B563" w14:textId="77777777" w:rsidR="00355D0C"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30057B72" w14:textId="77777777" w:rsidR="00355D0C" w:rsidRDefault="00000000">
            <w:pPr>
              <w:keepNext/>
              <w:keepLines/>
              <w:spacing w:after="0" w:line="240" w:lineRule="auto"/>
            </w:pPr>
            <w:r>
              <w:rPr>
                <w:sz w:val="18"/>
              </w:rPr>
              <w:t>96</w:t>
            </w:r>
          </w:p>
        </w:tc>
        <w:tc>
          <w:tcPr>
            <w:tcW w:w="1860" w:type="dxa"/>
            <w:tcMar>
              <w:top w:w="0" w:type="dxa"/>
              <w:bottom w:w="0" w:type="dxa"/>
            </w:tcMar>
            <w:vAlign w:val="center"/>
          </w:tcPr>
          <w:p w14:paraId="5D5D8E38" w14:textId="77777777" w:rsidR="00355D0C" w:rsidRDefault="00000000">
            <w:pPr>
              <w:keepNext/>
              <w:keepLines/>
              <w:spacing w:after="0" w:line="240" w:lineRule="auto"/>
              <w:jc w:val="right"/>
            </w:pPr>
            <w:r>
              <w:rPr>
                <w:sz w:val="18"/>
              </w:rPr>
              <w:t>423.274,16</w:t>
            </w:r>
          </w:p>
        </w:tc>
        <w:tc>
          <w:tcPr>
            <w:tcW w:w="1860" w:type="dxa"/>
            <w:tcMar>
              <w:top w:w="0" w:type="dxa"/>
              <w:bottom w:w="0" w:type="dxa"/>
            </w:tcMar>
            <w:vAlign w:val="center"/>
          </w:tcPr>
          <w:p w14:paraId="6925D0F5" w14:textId="77777777" w:rsidR="00355D0C" w:rsidRDefault="00000000">
            <w:pPr>
              <w:keepNext/>
              <w:keepLines/>
              <w:spacing w:after="0" w:line="240" w:lineRule="auto"/>
              <w:jc w:val="right"/>
            </w:pPr>
            <w:r>
              <w:rPr>
                <w:sz w:val="18"/>
              </w:rPr>
              <w:t>240.971,92</w:t>
            </w:r>
          </w:p>
        </w:tc>
        <w:tc>
          <w:tcPr>
            <w:tcW w:w="700" w:type="dxa"/>
            <w:tcMar>
              <w:top w:w="0" w:type="dxa"/>
              <w:bottom w:w="0" w:type="dxa"/>
            </w:tcMar>
            <w:vAlign w:val="center"/>
          </w:tcPr>
          <w:p w14:paraId="6ACE464E" w14:textId="77777777" w:rsidR="00355D0C" w:rsidRDefault="00000000">
            <w:pPr>
              <w:keepNext/>
              <w:keepLines/>
              <w:spacing w:after="0" w:line="240" w:lineRule="auto"/>
              <w:jc w:val="right"/>
            </w:pPr>
            <w:r>
              <w:rPr>
                <w:sz w:val="18"/>
              </w:rPr>
              <w:t>56,9</w:t>
            </w:r>
          </w:p>
        </w:tc>
      </w:tr>
    </w:tbl>
    <w:p w14:paraId="7A9A9FF2" w14:textId="77777777" w:rsidR="00355D0C" w:rsidRDefault="00355D0C">
      <w:pPr>
        <w:spacing w:after="0"/>
      </w:pPr>
    </w:p>
    <w:p w14:paraId="18F704F2" w14:textId="77777777" w:rsidR="00355D0C" w:rsidRDefault="00000000">
      <w:r>
        <w:t> Ovi prihodi su umanjeni zbog ovršnog postupka kojim je naplaćen samo dio potraživanja, a dio se otpisuje. Na kontu 966 knjiži se vrijednost potraživanja obračunatih prihoda bez PDV-a stoga se za nenaplaćeni dio potraživanja knjiži smanjenje vrijednosti na kontu 966.</w:t>
      </w:r>
    </w:p>
    <w:p w14:paraId="57857F78" w14:textId="77777777" w:rsidR="00355D0C" w:rsidRDefault="00000000">
      <w:r>
        <w:t> </w:t>
      </w:r>
    </w:p>
    <w:p w14:paraId="37780A57" w14:textId="77777777" w:rsidR="00355D0C" w:rsidRDefault="00355D0C"/>
    <w:p w14:paraId="13318D17" w14:textId="77777777" w:rsidR="00355D0C"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1F10EB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FE6AE4"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57AE3B"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C3DB96"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BCE46"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B549E4"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E0906A" w14:textId="77777777" w:rsidR="00355D0C" w:rsidRDefault="00000000">
            <w:pPr>
              <w:keepNext/>
              <w:keepLines/>
              <w:spacing w:after="0" w:line="240" w:lineRule="auto"/>
              <w:jc w:val="center"/>
            </w:pPr>
            <w:r>
              <w:rPr>
                <w:b/>
                <w:sz w:val="18"/>
              </w:rPr>
              <w:t>Indeks (%)</w:t>
            </w:r>
          </w:p>
        </w:tc>
      </w:tr>
      <w:tr w:rsidR="00355D0C" w14:paraId="503753F9" w14:textId="77777777">
        <w:tblPrEx>
          <w:tblCellMar>
            <w:top w:w="0" w:type="dxa"/>
            <w:bottom w:w="0" w:type="dxa"/>
          </w:tblCellMar>
        </w:tblPrEx>
        <w:trPr>
          <w:cantSplit/>
          <w:trHeight w:val="560"/>
        </w:trPr>
        <w:tc>
          <w:tcPr>
            <w:tcW w:w="700" w:type="dxa"/>
            <w:tcMar>
              <w:top w:w="0" w:type="dxa"/>
              <w:bottom w:w="0" w:type="dxa"/>
            </w:tcMar>
            <w:vAlign w:val="center"/>
          </w:tcPr>
          <w:p w14:paraId="671CFD2B" w14:textId="77777777" w:rsidR="00355D0C" w:rsidRDefault="00000000">
            <w:pPr>
              <w:keepNext/>
              <w:keepLines/>
              <w:spacing w:after="0" w:line="240" w:lineRule="auto"/>
            </w:pPr>
            <w:r>
              <w:rPr>
                <w:sz w:val="18"/>
              </w:rPr>
              <w:t>dio 16</w:t>
            </w:r>
          </w:p>
        </w:tc>
        <w:tc>
          <w:tcPr>
            <w:tcW w:w="3180" w:type="dxa"/>
            <w:tcMar>
              <w:top w:w="0" w:type="dxa"/>
              <w:bottom w:w="0" w:type="dxa"/>
            </w:tcMar>
            <w:vAlign w:val="center"/>
          </w:tcPr>
          <w:p w14:paraId="5E293715" w14:textId="77777777" w:rsidR="00355D0C"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6E330003" w14:textId="77777777" w:rsidR="00355D0C" w:rsidRDefault="00000000">
            <w:pPr>
              <w:keepNext/>
              <w:keepLines/>
              <w:spacing w:after="0" w:line="240" w:lineRule="auto"/>
            </w:pPr>
            <w:r>
              <w:rPr>
                <w:sz w:val="18"/>
              </w:rPr>
              <w:t>dio 16 N</w:t>
            </w:r>
          </w:p>
        </w:tc>
        <w:tc>
          <w:tcPr>
            <w:tcW w:w="1860" w:type="dxa"/>
            <w:tcMar>
              <w:top w:w="0" w:type="dxa"/>
              <w:bottom w:w="0" w:type="dxa"/>
            </w:tcMar>
            <w:vAlign w:val="center"/>
          </w:tcPr>
          <w:p w14:paraId="359455B2" w14:textId="77777777" w:rsidR="00355D0C" w:rsidRDefault="00000000">
            <w:pPr>
              <w:keepNext/>
              <w:keepLines/>
              <w:spacing w:after="0" w:line="240" w:lineRule="auto"/>
              <w:jc w:val="right"/>
            </w:pPr>
            <w:r>
              <w:rPr>
                <w:sz w:val="18"/>
              </w:rPr>
              <w:t>988.829,16</w:t>
            </w:r>
          </w:p>
        </w:tc>
        <w:tc>
          <w:tcPr>
            <w:tcW w:w="1860" w:type="dxa"/>
            <w:tcMar>
              <w:top w:w="0" w:type="dxa"/>
              <w:bottom w:w="0" w:type="dxa"/>
            </w:tcMar>
            <w:vAlign w:val="center"/>
          </w:tcPr>
          <w:p w14:paraId="16A86901" w14:textId="77777777" w:rsidR="00355D0C" w:rsidRDefault="00000000">
            <w:pPr>
              <w:keepNext/>
              <w:keepLines/>
              <w:spacing w:after="0" w:line="240" w:lineRule="auto"/>
              <w:jc w:val="right"/>
            </w:pPr>
            <w:r>
              <w:rPr>
                <w:sz w:val="18"/>
              </w:rPr>
              <w:t>815.130,66</w:t>
            </w:r>
          </w:p>
        </w:tc>
        <w:tc>
          <w:tcPr>
            <w:tcW w:w="700" w:type="dxa"/>
            <w:tcMar>
              <w:top w:w="0" w:type="dxa"/>
              <w:bottom w:w="0" w:type="dxa"/>
            </w:tcMar>
            <w:vAlign w:val="center"/>
          </w:tcPr>
          <w:p w14:paraId="55D10EF3" w14:textId="77777777" w:rsidR="00355D0C" w:rsidRDefault="00000000">
            <w:pPr>
              <w:keepNext/>
              <w:keepLines/>
              <w:spacing w:after="0" w:line="240" w:lineRule="auto"/>
              <w:jc w:val="right"/>
            </w:pPr>
            <w:r>
              <w:rPr>
                <w:sz w:val="18"/>
              </w:rPr>
              <w:t>82,4</w:t>
            </w:r>
          </w:p>
        </w:tc>
      </w:tr>
    </w:tbl>
    <w:p w14:paraId="759D4D2C" w14:textId="77777777" w:rsidR="00355D0C" w:rsidRDefault="00355D0C">
      <w:pPr>
        <w:spacing w:after="0"/>
      </w:pPr>
    </w:p>
    <w:p w14:paraId="2EA68965" w14:textId="77777777" w:rsidR="00355D0C" w:rsidRDefault="00000000">
      <w:r>
        <w:t>Ukupna potraživanja za prihode poslovanja koja su nedospjela odnose se na kupce stanova koji otplaćuju stanove prema Ugovorima o obročnoj otplati na više godina, dok se potraživanja za prihode od pruženih usluga odnose na najam i režije poslovnog prostora koja su za mjesec prosinac, a dospijevaju u siječnju 2026. godine.</w:t>
      </w:r>
    </w:p>
    <w:p w14:paraId="45F1BDA2" w14:textId="77777777" w:rsidR="00355D0C" w:rsidRDefault="00355D0C"/>
    <w:p w14:paraId="6604D6CD" w14:textId="77777777" w:rsidR="00355D0C"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33C98D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B16657"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AFF8B6"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5478A"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F668C8"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1E667E"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4EE58F" w14:textId="77777777" w:rsidR="00355D0C" w:rsidRDefault="00000000">
            <w:pPr>
              <w:keepNext/>
              <w:keepLines/>
              <w:spacing w:after="0" w:line="240" w:lineRule="auto"/>
              <w:jc w:val="center"/>
            </w:pPr>
            <w:r>
              <w:rPr>
                <w:b/>
                <w:sz w:val="18"/>
              </w:rPr>
              <w:t>Indeks (%)</w:t>
            </w:r>
          </w:p>
        </w:tc>
      </w:tr>
      <w:tr w:rsidR="00355D0C" w14:paraId="6CB89AE8" w14:textId="77777777">
        <w:tblPrEx>
          <w:tblCellMar>
            <w:top w:w="0" w:type="dxa"/>
            <w:bottom w:w="0" w:type="dxa"/>
          </w:tblCellMar>
        </w:tblPrEx>
        <w:trPr>
          <w:cantSplit/>
          <w:trHeight w:val="560"/>
        </w:trPr>
        <w:tc>
          <w:tcPr>
            <w:tcW w:w="700" w:type="dxa"/>
            <w:tcMar>
              <w:top w:w="0" w:type="dxa"/>
              <w:bottom w:w="0" w:type="dxa"/>
            </w:tcMar>
            <w:vAlign w:val="center"/>
          </w:tcPr>
          <w:p w14:paraId="56450B6F" w14:textId="77777777" w:rsidR="00355D0C" w:rsidRDefault="00000000">
            <w:pPr>
              <w:keepNext/>
              <w:keepLines/>
              <w:spacing w:after="0" w:line="240" w:lineRule="auto"/>
            </w:pPr>
            <w:r>
              <w:rPr>
                <w:sz w:val="18"/>
              </w:rPr>
              <w:t>dio 23</w:t>
            </w:r>
          </w:p>
        </w:tc>
        <w:tc>
          <w:tcPr>
            <w:tcW w:w="3180" w:type="dxa"/>
            <w:tcMar>
              <w:top w:w="0" w:type="dxa"/>
              <w:bottom w:w="0" w:type="dxa"/>
            </w:tcMar>
            <w:vAlign w:val="center"/>
          </w:tcPr>
          <w:p w14:paraId="31D48F2C" w14:textId="77777777" w:rsidR="00355D0C"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42854966" w14:textId="77777777" w:rsidR="00355D0C" w:rsidRDefault="00000000">
            <w:pPr>
              <w:keepNext/>
              <w:keepLines/>
              <w:spacing w:after="0" w:line="240" w:lineRule="auto"/>
            </w:pPr>
            <w:r>
              <w:rPr>
                <w:sz w:val="18"/>
              </w:rPr>
              <w:t>dio 23 N</w:t>
            </w:r>
          </w:p>
        </w:tc>
        <w:tc>
          <w:tcPr>
            <w:tcW w:w="1860" w:type="dxa"/>
            <w:tcMar>
              <w:top w:w="0" w:type="dxa"/>
              <w:bottom w:w="0" w:type="dxa"/>
            </w:tcMar>
            <w:vAlign w:val="center"/>
          </w:tcPr>
          <w:p w14:paraId="0E5DB3A9" w14:textId="77777777" w:rsidR="00355D0C" w:rsidRDefault="00000000">
            <w:pPr>
              <w:keepNext/>
              <w:keepLines/>
              <w:spacing w:after="0" w:line="240" w:lineRule="auto"/>
              <w:jc w:val="right"/>
            </w:pPr>
            <w:r>
              <w:rPr>
                <w:sz w:val="18"/>
              </w:rPr>
              <w:t>8.065,95</w:t>
            </w:r>
          </w:p>
        </w:tc>
        <w:tc>
          <w:tcPr>
            <w:tcW w:w="1860" w:type="dxa"/>
            <w:tcMar>
              <w:top w:w="0" w:type="dxa"/>
              <w:bottom w:w="0" w:type="dxa"/>
            </w:tcMar>
            <w:vAlign w:val="center"/>
          </w:tcPr>
          <w:p w14:paraId="3BC2198F" w14:textId="77777777" w:rsidR="00355D0C" w:rsidRDefault="00000000">
            <w:pPr>
              <w:keepNext/>
              <w:keepLines/>
              <w:spacing w:after="0" w:line="240" w:lineRule="auto"/>
              <w:jc w:val="right"/>
            </w:pPr>
            <w:r>
              <w:rPr>
                <w:sz w:val="18"/>
              </w:rPr>
              <w:t>8.207,18</w:t>
            </w:r>
          </w:p>
        </w:tc>
        <w:tc>
          <w:tcPr>
            <w:tcW w:w="700" w:type="dxa"/>
            <w:tcMar>
              <w:top w:w="0" w:type="dxa"/>
              <w:bottom w:w="0" w:type="dxa"/>
            </w:tcMar>
            <w:vAlign w:val="center"/>
          </w:tcPr>
          <w:p w14:paraId="205B6183" w14:textId="77777777" w:rsidR="00355D0C" w:rsidRDefault="00000000">
            <w:pPr>
              <w:keepNext/>
              <w:keepLines/>
              <w:spacing w:after="0" w:line="240" w:lineRule="auto"/>
              <w:jc w:val="right"/>
            </w:pPr>
            <w:r>
              <w:rPr>
                <w:sz w:val="18"/>
              </w:rPr>
              <w:t>101,8</w:t>
            </w:r>
          </w:p>
        </w:tc>
      </w:tr>
    </w:tbl>
    <w:p w14:paraId="011B9897" w14:textId="77777777" w:rsidR="00355D0C" w:rsidRDefault="00355D0C">
      <w:pPr>
        <w:spacing w:after="0"/>
      </w:pPr>
    </w:p>
    <w:p w14:paraId="1AB99853" w14:textId="77777777" w:rsidR="00355D0C" w:rsidRDefault="00000000">
      <w:r>
        <w:t>Nedospjele obveze u iznosu od 5.422,71 euro odnose se na plaću za prosinac koja dospijeva u siječnju, obveze za materijalne rashode su u iznosu od 1.432,50 eura i ostale tekuće obveze u iznosu od 1.458,22 eura.</w:t>
      </w:r>
    </w:p>
    <w:p w14:paraId="5D1555DC" w14:textId="77777777" w:rsidR="00355D0C" w:rsidRDefault="00355D0C"/>
    <w:p w14:paraId="168BB69F" w14:textId="77777777" w:rsidR="00355D0C"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0341AE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E9BDE4"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269C4A"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4668CD"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2F3080"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6488E5"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E4B6B3" w14:textId="77777777" w:rsidR="00355D0C" w:rsidRDefault="00000000">
            <w:pPr>
              <w:keepNext/>
              <w:keepLines/>
              <w:spacing w:after="0" w:line="240" w:lineRule="auto"/>
              <w:jc w:val="center"/>
            </w:pPr>
            <w:r>
              <w:rPr>
                <w:b/>
                <w:sz w:val="18"/>
              </w:rPr>
              <w:t>Indeks (%)</w:t>
            </w:r>
          </w:p>
        </w:tc>
      </w:tr>
      <w:tr w:rsidR="00355D0C" w14:paraId="4ECE3215" w14:textId="77777777">
        <w:tblPrEx>
          <w:tblCellMar>
            <w:top w:w="0" w:type="dxa"/>
            <w:bottom w:w="0" w:type="dxa"/>
          </w:tblCellMar>
        </w:tblPrEx>
        <w:trPr>
          <w:cantSplit/>
          <w:trHeight w:val="560"/>
        </w:trPr>
        <w:tc>
          <w:tcPr>
            <w:tcW w:w="700" w:type="dxa"/>
            <w:tcMar>
              <w:top w:w="0" w:type="dxa"/>
              <w:bottom w:w="0" w:type="dxa"/>
            </w:tcMar>
            <w:vAlign w:val="center"/>
          </w:tcPr>
          <w:p w14:paraId="09C0A9FC" w14:textId="77777777" w:rsidR="00355D0C" w:rsidRDefault="00000000">
            <w:pPr>
              <w:keepNext/>
              <w:keepLines/>
              <w:spacing w:after="0" w:line="240" w:lineRule="auto"/>
            </w:pPr>
            <w:r>
              <w:rPr>
                <w:sz w:val="18"/>
              </w:rPr>
              <w:t>dio 24</w:t>
            </w:r>
          </w:p>
        </w:tc>
        <w:tc>
          <w:tcPr>
            <w:tcW w:w="3180" w:type="dxa"/>
            <w:tcMar>
              <w:top w:w="0" w:type="dxa"/>
              <w:bottom w:w="0" w:type="dxa"/>
            </w:tcMar>
            <w:vAlign w:val="center"/>
          </w:tcPr>
          <w:p w14:paraId="3F45E52B" w14:textId="77777777" w:rsidR="00355D0C"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77756B10" w14:textId="77777777" w:rsidR="00355D0C" w:rsidRDefault="00000000">
            <w:pPr>
              <w:keepNext/>
              <w:keepLines/>
              <w:spacing w:after="0" w:line="240" w:lineRule="auto"/>
            </w:pPr>
            <w:r>
              <w:rPr>
                <w:sz w:val="18"/>
              </w:rPr>
              <w:t>dio 24 N</w:t>
            </w:r>
          </w:p>
        </w:tc>
        <w:tc>
          <w:tcPr>
            <w:tcW w:w="1860" w:type="dxa"/>
            <w:tcMar>
              <w:top w:w="0" w:type="dxa"/>
              <w:bottom w:w="0" w:type="dxa"/>
            </w:tcMar>
            <w:vAlign w:val="center"/>
          </w:tcPr>
          <w:p w14:paraId="6E994E87" w14:textId="77777777" w:rsidR="00355D0C" w:rsidRDefault="00000000">
            <w:pPr>
              <w:keepNext/>
              <w:keepLines/>
              <w:spacing w:after="0" w:line="240" w:lineRule="auto"/>
              <w:jc w:val="right"/>
            </w:pPr>
            <w:r>
              <w:rPr>
                <w:sz w:val="18"/>
              </w:rPr>
              <w:t>490.844,17</w:t>
            </w:r>
          </w:p>
        </w:tc>
        <w:tc>
          <w:tcPr>
            <w:tcW w:w="1860" w:type="dxa"/>
            <w:tcMar>
              <w:top w:w="0" w:type="dxa"/>
              <w:bottom w:w="0" w:type="dxa"/>
            </w:tcMar>
            <w:vAlign w:val="center"/>
          </w:tcPr>
          <w:p w14:paraId="0A668BDB" w14:textId="77777777" w:rsidR="00355D0C" w:rsidRDefault="00000000">
            <w:pPr>
              <w:keepNext/>
              <w:keepLines/>
              <w:spacing w:after="0" w:line="240" w:lineRule="auto"/>
              <w:jc w:val="right"/>
            </w:pPr>
            <w:r>
              <w:rPr>
                <w:sz w:val="18"/>
              </w:rPr>
              <w:t>480.161,20</w:t>
            </w:r>
          </w:p>
        </w:tc>
        <w:tc>
          <w:tcPr>
            <w:tcW w:w="700" w:type="dxa"/>
            <w:tcMar>
              <w:top w:w="0" w:type="dxa"/>
              <w:bottom w:w="0" w:type="dxa"/>
            </w:tcMar>
            <w:vAlign w:val="center"/>
          </w:tcPr>
          <w:p w14:paraId="1B0FF8F3" w14:textId="77777777" w:rsidR="00355D0C" w:rsidRDefault="00000000">
            <w:pPr>
              <w:keepNext/>
              <w:keepLines/>
              <w:spacing w:after="0" w:line="240" w:lineRule="auto"/>
              <w:jc w:val="right"/>
            </w:pPr>
            <w:r>
              <w:rPr>
                <w:sz w:val="18"/>
              </w:rPr>
              <w:t>97,8</w:t>
            </w:r>
          </w:p>
        </w:tc>
      </w:tr>
    </w:tbl>
    <w:p w14:paraId="5764251F" w14:textId="77777777" w:rsidR="00355D0C" w:rsidRDefault="00355D0C">
      <w:pPr>
        <w:spacing w:after="0"/>
      </w:pPr>
    </w:p>
    <w:p w14:paraId="37F0F9C4" w14:textId="77777777" w:rsidR="00355D0C" w:rsidRDefault="00000000">
      <w:r>
        <w:t>Agencija prema zakonu o POS-u ima obvezu kvartalnog vraćanja 65% sredstava iz III. obroka za sva zemljišta na lokacijama Lenišće istok i Cvjetna1 i Cvjetna2.</w:t>
      </w:r>
    </w:p>
    <w:p w14:paraId="32AAB66F" w14:textId="77777777" w:rsidR="00355D0C" w:rsidRDefault="00355D0C"/>
    <w:p w14:paraId="5A259F2F" w14:textId="77777777" w:rsidR="00355D0C"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4DB30A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58A643"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EF5087"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F10C01"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666EB5" w14:textId="77777777" w:rsidR="00355D0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B2089E" w14:textId="77777777" w:rsidR="00355D0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0180B2" w14:textId="77777777" w:rsidR="00355D0C" w:rsidRDefault="00000000">
            <w:pPr>
              <w:keepNext/>
              <w:keepLines/>
              <w:spacing w:after="0" w:line="240" w:lineRule="auto"/>
              <w:jc w:val="center"/>
            </w:pPr>
            <w:r>
              <w:rPr>
                <w:b/>
                <w:sz w:val="18"/>
              </w:rPr>
              <w:t>Indeks (%)</w:t>
            </w:r>
          </w:p>
        </w:tc>
      </w:tr>
      <w:tr w:rsidR="00355D0C" w14:paraId="0C00551E" w14:textId="77777777">
        <w:tblPrEx>
          <w:tblCellMar>
            <w:top w:w="0" w:type="dxa"/>
            <w:bottom w:w="0" w:type="dxa"/>
          </w:tblCellMar>
        </w:tblPrEx>
        <w:trPr>
          <w:cantSplit/>
          <w:trHeight w:val="560"/>
        </w:trPr>
        <w:tc>
          <w:tcPr>
            <w:tcW w:w="700" w:type="dxa"/>
            <w:tcMar>
              <w:top w:w="0" w:type="dxa"/>
              <w:bottom w:w="0" w:type="dxa"/>
            </w:tcMar>
            <w:vAlign w:val="center"/>
          </w:tcPr>
          <w:p w14:paraId="68AE4D4A" w14:textId="77777777" w:rsidR="00355D0C" w:rsidRDefault="00000000">
            <w:pPr>
              <w:keepNext/>
              <w:keepLines/>
              <w:spacing w:after="0" w:line="240" w:lineRule="auto"/>
            </w:pPr>
            <w:r>
              <w:rPr>
                <w:sz w:val="18"/>
              </w:rPr>
              <w:t>27611</w:t>
            </w:r>
          </w:p>
        </w:tc>
        <w:tc>
          <w:tcPr>
            <w:tcW w:w="3180" w:type="dxa"/>
            <w:tcMar>
              <w:top w:w="0" w:type="dxa"/>
              <w:bottom w:w="0" w:type="dxa"/>
            </w:tcMar>
            <w:vAlign w:val="center"/>
          </w:tcPr>
          <w:p w14:paraId="01D80F0A" w14:textId="77777777" w:rsidR="00355D0C" w:rsidRDefault="00000000">
            <w:pPr>
              <w:keepNext/>
              <w:keepLines/>
              <w:spacing w:after="0" w:line="240" w:lineRule="auto"/>
            </w:pPr>
            <w:r>
              <w:rPr>
                <w:sz w:val="18"/>
              </w:rPr>
              <w:t>Obveze proračunskih korisnika za povrat u proračun</w:t>
            </w:r>
          </w:p>
        </w:tc>
        <w:tc>
          <w:tcPr>
            <w:tcW w:w="700" w:type="dxa"/>
            <w:tcMar>
              <w:top w:w="0" w:type="dxa"/>
              <w:bottom w:w="0" w:type="dxa"/>
            </w:tcMar>
            <w:vAlign w:val="center"/>
          </w:tcPr>
          <w:p w14:paraId="58C5AF79" w14:textId="77777777" w:rsidR="00355D0C" w:rsidRDefault="00000000">
            <w:pPr>
              <w:keepNext/>
              <w:keepLines/>
              <w:spacing w:after="0" w:line="240" w:lineRule="auto"/>
            </w:pPr>
            <w:r>
              <w:rPr>
                <w:sz w:val="18"/>
              </w:rPr>
              <w:t>27611</w:t>
            </w:r>
          </w:p>
        </w:tc>
        <w:tc>
          <w:tcPr>
            <w:tcW w:w="1860" w:type="dxa"/>
            <w:tcMar>
              <w:top w:w="0" w:type="dxa"/>
              <w:bottom w:w="0" w:type="dxa"/>
            </w:tcMar>
            <w:vAlign w:val="center"/>
          </w:tcPr>
          <w:p w14:paraId="32E9A1AE" w14:textId="77777777" w:rsidR="00355D0C" w:rsidRDefault="00000000">
            <w:pPr>
              <w:keepNext/>
              <w:keepLines/>
              <w:spacing w:after="0" w:line="240" w:lineRule="auto"/>
              <w:jc w:val="right"/>
            </w:pPr>
            <w:r>
              <w:rPr>
                <w:sz w:val="18"/>
              </w:rPr>
              <w:t>177.294,24</w:t>
            </w:r>
          </w:p>
        </w:tc>
        <w:tc>
          <w:tcPr>
            <w:tcW w:w="1860" w:type="dxa"/>
            <w:tcMar>
              <w:top w:w="0" w:type="dxa"/>
              <w:bottom w:w="0" w:type="dxa"/>
            </w:tcMar>
            <w:vAlign w:val="center"/>
          </w:tcPr>
          <w:p w14:paraId="47EC7032" w14:textId="77777777" w:rsidR="00355D0C" w:rsidRDefault="00000000">
            <w:pPr>
              <w:keepNext/>
              <w:keepLines/>
              <w:spacing w:after="0" w:line="240" w:lineRule="auto"/>
              <w:jc w:val="right"/>
            </w:pPr>
            <w:r>
              <w:rPr>
                <w:sz w:val="18"/>
              </w:rPr>
              <w:t>149.438,82</w:t>
            </w:r>
          </w:p>
        </w:tc>
        <w:tc>
          <w:tcPr>
            <w:tcW w:w="700" w:type="dxa"/>
            <w:tcMar>
              <w:top w:w="0" w:type="dxa"/>
              <w:bottom w:w="0" w:type="dxa"/>
            </w:tcMar>
            <w:vAlign w:val="center"/>
          </w:tcPr>
          <w:p w14:paraId="5498FBCA" w14:textId="77777777" w:rsidR="00355D0C" w:rsidRDefault="00000000">
            <w:pPr>
              <w:keepNext/>
              <w:keepLines/>
              <w:spacing w:after="0" w:line="240" w:lineRule="auto"/>
              <w:jc w:val="right"/>
            </w:pPr>
            <w:r>
              <w:rPr>
                <w:sz w:val="18"/>
              </w:rPr>
              <w:t>84,3</w:t>
            </w:r>
          </w:p>
        </w:tc>
      </w:tr>
    </w:tbl>
    <w:p w14:paraId="03CE267C" w14:textId="77777777" w:rsidR="00355D0C" w:rsidRDefault="00355D0C">
      <w:pPr>
        <w:spacing w:after="0"/>
      </w:pPr>
    </w:p>
    <w:p w14:paraId="16A71A92" w14:textId="77777777" w:rsidR="00355D0C" w:rsidRDefault="00000000">
      <w:r>
        <w:t>Kvartalni povrat sredstava JLS-u i APN-u.</w:t>
      </w:r>
    </w:p>
    <w:p w14:paraId="23B31D5F" w14:textId="77777777" w:rsidR="00355D0C" w:rsidRDefault="00355D0C"/>
    <w:p w14:paraId="297A802F" w14:textId="77777777" w:rsidR="00355D0C" w:rsidRDefault="00000000">
      <w:pPr>
        <w:keepNext/>
        <w:spacing w:line="240" w:lineRule="auto"/>
        <w:jc w:val="center"/>
      </w:pPr>
      <w:r>
        <w:rPr>
          <w:b/>
          <w:sz w:val="28"/>
        </w:rPr>
        <w:lastRenderedPageBreak/>
        <w:t>Promjene u vrijednosti i obujmu imovine i obveza</w:t>
      </w:r>
    </w:p>
    <w:p w14:paraId="5B94472A" w14:textId="77777777" w:rsidR="00355D0C"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2FF180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7B0A05"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3C5402"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6FA3AD"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6DA3F" w14:textId="77777777" w:rsidR="00355D0C"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A4F77C7" w14:textId="77777777" w:rsidR="00355D0C"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5B305C7" w14:textId="77777777" w:rsidR="00355D0C" w:rsidRDefault="00000000">
            <w:pPr>
              <w:keepNext/>
              <w:keepLines/>
              <w:spacing w:after="0" w:line="240" w:lineRule="auto"/>
              <w:jc w:val="center"/>
            </w:pPr>
            <w:r>
              <w:rPr>
                <w:b/>
                <w:sz w:val="18"/>
              </w:rPr>
              <w:t>Indeks (%)</w:t>
            </w:r>
          </w:p>
        </w:tc>
      </w:tr>
      <w:tr w:rsidR="00355D0C" w14:paraId="0BCFF41F" w14:textId="77777777">
        <w:tblPrEx>
          <w:tblCellMar>
            <w:top w:w="0" w:type="dxa"/>
            <w:bottom w:w="0" w:type="dxa"/>
          </w:tblCellMar>
        </w:tblPrEx>
        <w:trPr>
          <w:cantSplit/>
          <w:trHeight w:val="560"/>
        </w:trPr>
        <w:tc>
          <w:tcPr>
            <w:tcW w:w="700" w:type="dxa"/>
            <w:tcMar>
              <w:top w:w="0" w:type="dxa"/>
              <w:bottom w:w="0" w:type="dxa"/>
            </w:tcMar>
            <w:vAlign w:val="center"/>
          </w:tcPr>
          <w:p w14:paraId="5ECD4DD9" w14:textId="77777777" w:rsidR="00355D0C" w:rsidRDefault="00000000">
            <w:pPr>
              <w:keepNext/>
              <w:keepLines/>
              <w:spacing w:after="0" w:line="240" w:lineRule="auto"/>
            </w:pPr>
            <w:r>
              <w:rPr>
                <w:sz w:val="18"/>
              </w:rPr>
              <w:t>9151</w:t>
            </w:r>
          </w:p>
        </w:tc>
        <w:tc>
          <w:tcPr>
            <w:tcW w:w="3180" w:type="dxa"/>
            <w:tcMar>
              <w:top w:w="0" w:type="dxa"/>
              <w:bottom w:w="0" w:type="dxa"/>
            </w:tcMar>
            <w:vAlign w:val="center"/>
          </w:tcPr>
          <w:p w14:paraId="05307233" w14:textId="77777777" w:rsidR="00355D0C"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2E99C560" w14:textId="77777777" w:rsidR="00355D0C" w:rsidRDefault="00000000">
            <w:pPr>
              <w:keepNext/>
              <w:keepLines/>
              <w:spacing w:after="0" w:line="240" w:lineRule="auto"/>
            </w:pPr>
            <w:r>
              <w:rPr>
                <w:sz w:val="18"/>
              </w:rPr>
              <w:t>9151</w:t>
            </w:r>
          </w:p>
        </w:tc>
        <w:tc>
          <w:tcPr>
            <w:tcW w:w="1860" w:type="dxa"/>
            <w:tcMar>
              <w:top w:w="0" w:type="dxa"/>
              <w:bottom w:w="0" w:type="dxa"/>
            </w:tcMar>
            <w:vAlign w:val="center"/>
          </w:tcPr>
          <w:p w14:paraId="5C35CC37" w14:textId="77777777" w:rsidR="00355D0C" w:rsidRDefault="00000000">
            <w:pPr>
              <w:keepNext/>
              <w:keepLines/>
              <w:spacing w:after="0" w:line="240" w:lineRule="auto"/>
              <w:jc w:val="right"/>
            </w:pPr>
            <w:r>
              <w:rPr>
                <w:sz w:val="18"/>
              </w:rPr>
              <w:t>0,00</w:t>
            </w:r>
          </w:p>
        </w:tc>
        <w:tc>
          <w:tcPr>
            <w:tcW w:w="1860" w:type="dxa"/>
            <w:tcMar>
              <w:top w:w="0" w:type="dxa"/>
              <w:bottom w:w="0" w:type="dxa"/>
            </w:tcMar>
            <w:vAlign w:val="center"/>
          </w:tcPr>
          <w:p w14:paraId="16E839BE" w14:textId="77777777" w:rsidR="00355D0C" w:rsidRDefault="00000000">
            <w:pPr>
              <w:keepNext/>
              <w:keepLines/>
              <w:spacing w:after="0" w:line="240" w:lineRule="auto"/>
              <w:jc w:val="right"/>
            </w:pPr>
            <w:r>
              <w:rPr>
                <w:sz w:val="18"/>
              </w:rPr>
              <w:t>21.102,16</w:t>
            </w:r>
          </w:p>
        </w:tc>
        <w:tc>
          <w:tcPr>
            <w:tcW w:w="700" w:type="dxa"/>
            <w:tcMar>
              <w:top w:w="0" w:type="dxa"/>
              <w:bottom w:w="0" w:type="dxa"/>
            </w:tcMar>
            <w:vAlign w:val="center"/>
          </w:tcPr>
          <w:p w14:paraId="65FBE6BE" w14:textId="77777777" w:rsidR="00355D0C" w:rsidRDefault="00000000">
            <w:pPr>
              <w:keepNext/>
              <w:keepLines/>
              <w:spacing w:after="0" w:line="240" w:lineRule="auto"/>
              <w:jc w:val="right"/>
            </w:pPr>
            <w:r>
              <w:rPr>
                <w:sz w:val="18"/>
              </w:rPr>
              <w:t>-</w:t>
            </w:r>
          </w:p>
        </w:tc>
      </w:tr>
    </w:tbl>
    <w:p w14:paraId="43D50EB8" w14:textId="77777777" w:rsidR="00355D0C" w:rsidRDefault="00355D0C">
      <w:pPr>
        <w:spacing w:after="0"/>
      </w:pPr>
    </w:p>
    <w:p w14:paraId="5FA2914B" w14:textId="77777777" w:rsidR="00355D0C" w:rsidRDefault="00000000">
      <w:r>
        <w:t>Tijekom 2025. godine Agencija je evidentirala promjene u vrijednosti i obujmu imovine u navedenom iznosu koje se odnose na obračun ispravka vrijednosti dugotrajne nefinancijske imovine i na otpis nenaplaćenog dijela kamate i glavnice prema sudskoj odluci.</w:t>
      </w:r>
    </w:p>
    <w:p w14:paraId="7AACCC06" w14:textId="77777777" w:rsidR="00355D0C" w:rsidRDefault="00355D0C"/>
    <w:p w14:paraId="521C03F4" w14:textId="77777777" w:rsidR="00355D0C"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4641CC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D0988F"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797586"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9E6BC6"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995975" w14:textId="77777777" w:rsidR="00355D0C"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4099EC4" w14:textId="77777777" w:rsidR="00355D0C"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01CA70F" w14:textId="77777777" w:rsidR="00355D0C" w:rsidRDefault="00000000">
            <w:pPr>
              <w:keepNext/>
              <w:keepLines/>
              <w:spacing w:after="0" w:line="240" w:lineRule="auto"/>
              <w:jc w:val="center"/>
            </w:pPr>
            <w:r>
              <w:rPr>
                <w:b/>
                <w:sz w:val="18"/>
              </w:rPr>
              <w:t>Indeks (%)</w:t>
            </w:r>
          </w:p>
        </w:tc>
      </w:tr>
      <w:tr w:rsidR="00355D0C" w14:paraId="54E31EB5" w14:textId="77777777">
        <w:tblPrEx>
          <w:tblCellMar>
            <w:top w:w="0" w:type="dxa"/>
            <w:bottom w:w="0" w:type="dxa"/>
          </w:tblCellMar>
        </w:tblPrEx>
        <w:trPr>
          <w:cantSplit/>
          <w:trHeight w:val="560"/>
        </w:trPr>
        <w:tc>
          <w:tcPr>
            <w:tcW w:w="700" w:type="dxa"/>
            <w:tcMar>
              <w:top w:w="0" w:type="dxa"/>
              <w:bottom w:w="0" w:type="dxa"/>
            </w:tcMar>
            <w:vAlign w:val="center"/>
          </w:tcPr>
          <w:p w14:paraId="655BCDCF" w14:textId="77777777" w:rsidR="00355D0C" w:rsidRDefault="00355D0C">
            <w:pPr>
              <w:keepNext/>
              <w:keepLines/>
              <w:spacing w:after="0" w:line="240" w:lineRule="auto"/>
            </w:pPr>
          </w:p>
        </w:tc>
        <w:tc>
          <w:tcPr>
            <w:tcW w:w="3180" w:type="dxa"/>
            <w:tcMar>
              <w:top w:w="0" w:type="dxa"/>
              <w:bottom w:w="0" w:type="dxa"/>
            </w:tcMar>
            <w:vAlign w:val="center"/>
          </w:tcPr>
          <w:p w14:paraId="0DF37484" w14:textId="77777777" w:rsidR="00355D0C"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4FC99829" w14:textId="77777777" w:rsidR="00355D0C" w:rsidRDefault="00000000">
            <w:pPr>
              <w:keepNext/>
              <w:keepLines/>
              <w:spacing w:after="0" w:line="240" w:lineRule="auto"/>
            </w:pPr>
            <w:r>
              <w:rPr>
                <w:sz w:val="18"/>
              </w:rPr>
              <w:t>P003</w:t>
            </w:r>
          </w:p>
        </w:tc>
        <w:tc>
          <w:tcPr>
            <w:tcW w:w="1860" w:type="dxa"/>
            <w:tcMar>
              <w:top w:w="0" w:type="dxa"/>
              <w:bottom w:w="0" w:type="dxa"/>
            </w:tcMar>
            <w:vAlign w:val="center"/>
          </w:tcPr>
          <w:p w14:paraId="03DF3D2E" w14:textId="77777777" w:rsidR="00355D0C" w:rsidRDefault="00000000">
            <w:pPr>
              <w:keepNext/>
              <w:keepLines/>
              <w:spacing w:after="0" w:line="240" w:lineRule="auto"/>
              <w:jc w:val="right"/>
            </w:pPr>
            <w:r>
              <w:rPr>
                <w:sz w:val="18"/>
              </w:rPr>
              <w:t>0,00</w:t>
            </w:r>
          </w:p>
        </w:tc>
        <w:tc>
          <w:tcPr>
            <w:tcW w:w="1860" w:type="dxa"/>
            <w:tcMar>
              <w:top w:w="0" w:type="dxa"/>
              <w:bottom w:w="0" w:type="dxa"/>
            </w:tcMar>
            <w:vAlign w:val="center"/>
          </w:tcPr>
          <w:p w14:paraId="263AD0D9" w14:textId="77777777" w:rsidR="00355D0C" w:rsidRDefault="00000000">
            <w:pPr>
              <w:keepNext/>
              <w:keepLines/>
              <w:spacing w:after="0" w:line="240" w:lineRule="auto"/>
              <w:jc w:val="right"/>
            </w:pPr>
            <w:r>
              <w:rPr>
                <w:sz w:val="18"/>
              </w:rPr>
              <w:t>1.768,34</w:t>
            </w:r>
          </w:p>
        </w:tc>
        <w:tc>
          <w:tcPr>
            <w:tcW w:w="700" w:type="dxa"/>
            <w:tcMar>
              <w:top w:w="0" w:type="dxa"/>
              <w:bottom w:w="0" w:type="dxa"/>
            </w:tcMar>
            <w:vAlign w:val="center"/>
          </w:tcPr>
          <w:p w14:paraId="396AE515" w14:textId="77777777" w:rsidR="00355D0C" w:rsidRDefault="00000000">
            <w:pPr>
              <w:keepNext/>
              <w:keepLines/>
              <w:spacing w:after="0" w:line="240" w:lineRule="auto"/>
              <w:jc w:val="right"/>
            </w:pPr>
            <w:r>
              <w:rPr>
                <w:sz w:val="18"/>
              </w:rPr>
              <w:t>-</w:t>
            </w:r>
          </w:p>
        </w:tc>
      </w:tr>
    </w:tbl>
    <w:p w14:paraId="281DFBEB" w14:textId="77777777" w:rsidR="00355D0C" w:rsidRDefault="00355D0C">
      <w:pPr>
        <w:spacing w:after="0"/>
      </w:pPr>
    </w:p>
    <w:p w14:paraId="21562B02" w14:textId="77777777" w:rsidR="00355D0C" w:rsidRDefault="00000000">
      <w:r>
        <w:t>Izvršen obračun ispravka vrijednosti dugotrajne nefinancijske imovine.</w:t>
      </w:r>
    </w:p>
    <w:p w14:paraId="01BCADE4" w14:textId="77777777" w:rsidR="00355D0C" w:rsidRDefault="00355D0C"/>
    <w:p w14:paraId="3E67C637" w14:textId="77777777" w:rsidR="00355D0C"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5D0C" w14:paraId="4AD4F0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2C0347"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86765C"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7790C5"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F9BE3F" w14:textId="77777777" w:rsidR="00355D0C"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F0420D8" w14:textId="77777777" w:rsidR="00355D0C"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C6CF3E3" w14:textId="77777777" w:rsidR="00355D0C" w:rsidRDefault="00000000">
            <w:pPr>
              <w:keepNext/>
              <w:keepLines/>
              <w:spacing w:after="0" w:line="240" w:lineRule="auto"/>
              <w:jc w:val="center"/>
            </w:pPr>
            <w:r>
              <w:rPr>
                <w:b/>
                <w:sz w:val="18"/>
              </w:rPr>
              <w:t>Indeks (%)</w:t>
            </w:r>
          </w:p>
        </w:tc>
      </w:tr>
      <w:tr w:rsidR="00355D0C" w14:paraId="2A183860" w14:textId="77777777">
        <w:tblPrEx>
          <w:tblCellMar>
            <w:top w:w="0" w:type="dxa"/>
            <w:bottom w:w="0" w:type="dxa"/>
          </w:tblCellMar>
        </w:tblPrEx>
        <w:trPr>
          <w:cantSplit/>
          <w:trHeight w:val="560"/>
        </w:trPr>
        <w:tc>
          <w:tcPr>
            <w:tcW w:w="700" w:type="dxa"/>
            <w:tcMar>
              <w:top w:w="0" w:type="dxa"/>
              <w:bottom w:w="0" w:type="dxa"/>
            </w:tcMar>
            <w:vAlign w:val="center"/>
          </w:tcPr>
          <w:p w14:paraId="6628CD89" w14:textId="77777777" w:rsidR="00355D0C" w:rsidRDefault="00355D0C">
            <w:pPr>
              <w:keepNext/>
              <w:keepLines/>
              <w:spacing w:after="0" w:line="240" w:lineRule="auto"/>
            </w:pPr>
          </w:p>
        </w:tc>
        <w:tc>
          <w:tcPr>
            <w:tcW w:w="3180" w:type="dxa"/>
            <w:tcMar>
              <w:top w:w="0" w:type="dxa"/>
              <w:bottom w:w="0" w:type="dxa"/>
            </w:tcMar>
            <w:vAlign w:val="center"/>
          </w:tcPr>
          <w:p w14:paraId="4661E1A7" w14:textId="77777777" w:rsidR="00355D0C" w:rsidRDefault="00000000">
            <w:pPr>
              <w:keepNext/>
              <w:keepLines/>
              <w:spacing w:after="0" w:line="240" w:lineRule="auto"/>
            </w:pPr>
            <w:r>
              <w:rPr>
                <w:sz w:val="18"/>
              </w:rPr>
              <w:t>Proizvedena kratkotrajna imovina</w:t>
            </w:r>
          </w:p>
        </w:tc>
        <w:tc>
          <w:tcPr>
            <w:tcW w:w="700" w:type="dxa"/>
            <w:tcMar>
              <w:top w:w="0" w:type="dxa"/>
              <w:bottom w:w="0" w:type="dxa"/>
            </w:tcMar>
            <w:vAlign w:val="center"/>
          </w:tcPr>
          <w:p w14:paraId="341A9830" w14:textId="77777777" w:rsidR="00355D0C" w:rsidRDefault="00000000">
            <w:pPr>
              <w:keepNext/>
              <w:keepLines/>
              <w:spacing w:after="0" w:line="240" w:lineRule="auto"/>
            </w:pPr>
            <w:r>
              <w:rPr>
                <w:sz w:val="18"/>
              </w:rPr>
              <w:t>P007</w:t>
            </w:r>
          </w:p>
        </w:tc>
        <w:tc>
          <w:tcPr>
            <w:tcW w:w="1860" w:type="dxa"/>
            <w:tcMar>
              <w:top w:w="0" w:type="dxa"/>
              <w:bottom w:w="0" w:type="dxa"/>
            </w:tcMar>
            <w:vAlign w:val="center"/>
          </w:tcPr>
          <w:p w14:paraId="7B4D3F14" w14:textId="77777777" w:rsidR="00355D0C" w:rsidRDefault="00000000">
            <w:pPr>
              <w:keepNext/>
              <w:keepLines/>
              <w:spacing w:after="0" w:line="240" w:lineRule="auto"/>
              <w:jc w:val="right"/>
            </w:pPr>
            <w:r>
              <w:rPr>
                <w:sz w:val="18"/>
              </w:rPr>
              <w:t>0,00</w:t>
            </w:r>
          </w:p>
        </w:tc>
        <w:tc>
          <w:tcPr>
            <w:tcW w:w="1860" w:type="dxa"/>
            <w:tcMar>
              <w:top w:w="0" w:type="dxa"/>
              <w:bottom w:w="0" w:type="dxa"/>
            </w:tcMar>
            <w:vAlign w:val="center"/>
          </w:tcPr>
          <w:p w14:paraId="5D79D3B5" w14:textId="77777777" w:rsidR="00355D0C" w:rsidRDefault="00000000">
            <w:pPr>
              <w:keepNext/>
              <w:keepLines/>
              <w:spacing w:after="0" w:line="240" w:lineRule="auto"/>
              <w:jc w:val="right"/>
            </w:pPr>
            <w:r>
              <w:rPr>
                <w:sz w:val="18"/>
              </w:rPr>
              <w:t>19.333,82</w:t>
            </w:r>
          </w:p>
        </w:tc>
        <w:tc>
          <w:tcPr>
            <w:tcW w:w="700" w:type="dxa"/>
            <w:tcMar>
              <w:top w:w="0" w:type="dxa"/>
              <w:bottom w:w="0" w:type="dxa"/>
            </w:tcMar>
            <w:vAlign w:val="center"/>
          </w:tcPr>
          <w:p w14:paraId="25BBA0E5" w14:textId="77777777" w:rsidR="00355D0C" w:rsidRDefault="00000000">
            <w:pPr>
              <w:keepNext/>
              <w:keepLines/>
              <w:spacing w:after="0" w:line="240" w:lineRule="auto"/>
              <w:jc w:val="right"/>
            </w:pPr>
            <w:r>
              <w:rPr>
                <w:sz w:val="18"/>
              </w:rPr>
              <w:t>-</w:t>
            </w:r>
          </w:p>
        </w:tc>
      </w:tr>
    </w:tbl>
    <w:p w14:paraId="7E3783C7" w14:textId="77777777" w:rsidR="00355D0C" w:rsidRDefault="00355D0C">
      <w:pPr>
        <w:spacing w:after="0"/>
      </w:pPr>
    </w:p>
    <w:p w14:paraId="32C75F62" w14:textId="77777777" w:rsidR="00355D0C" w:rsidRDefault="00000000">
      <w:r>
        <w:t>Otpis dijela nenaplaćenog potraživanja za glavnicu prema sudskoj odluci.</w:t>
      </w:r>
    </w:p>
    <w:p w14:paraId="25A2F045" w14:textId="77777777" w:rsidR="00355D0C" w:rsidRDefault="00355D0C"/>
    <w:p w14:paraId="76E84D59" w14:textId="77777777" w:rsidR="00355D0C" w:rsidRDefault="00000000">
      <w:pPr>
        <w:keepNext/>
        <w:spacing w:line="240" w:lineRule="auto"/>
        <w:jc w:val="center"/>
      </w:pPr>
      <w:r>
        <w:rPr>
          <w:b/>
          <w:sz w:val="28"/>
        </w:rPr>
        <w:t>Izvještaj o obvezama</w:t>
      </w:r>
    </w:p>
    <w:p w14:paraId="48EC37B5" w14:textId="77777777" w:rsidR="00355D0C"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55D0C" w14:paraId="2E52AE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21F5A5"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D97B15"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39AB0"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622569" w14:textId="77777777" w:rsidR="00355D0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A41EDF5" w14:textId="77777777" w:rsidR="00355D0C" w:rsidRDefault="00000000">
            <w:pPr>
              <w:keepNext/>
              <w:keepLines/>
              <w:spacing w:after="0" w:line="240" w:lineRule="auto"/>
              <w:jc w:val="center"/>
            </w:pPr>
            <w:r>
              <w:rPr>
                <w:b/>
                <w:sz w:val="18"/>
              </w:rPr>
              <w:t>Indeks (%)</w:t>
            </w:r>
          </w:p>
        </w:tc>
      </w:tr>
      <w:tr w:rsidR="00355D0C" w14:paraId="7B5551A6" w14:textId="77777777">
        <w:tblPrEx>
          <w:tblCellMar>
            <w:top w:w="0" w:type="dxa"/>
            <w:bottom w:w="0" w:type="dxa"/>
          </w:tblCellMar>
        </w:tblPrEx>
        <w:trPr>
          <w:cantSplit/>
          <w:trHeight w:val="560"/>
        </w:trPr>
        <w:tc>
          <w:tcPr>
            <w:tcW w:w="700" w:type="dxa"/>
            <w:tcMar>
              <w:top w:w="0" w:type="dxa"/>
              <w:bottom w:w="0" w:type="dxa"/>
            </w:tcMar>
            <w:vAlign w:val="center"/>
          </w:tcPr>
          <w:p w14:paraId="34F9ED41" w14:textId="77777777" w:rsidR="00355D0C" w:rsidRDefault="00355D0C">
            <w:pPr>
              <w:keepNext/>
              <w:keepLines/>
              <w:spacing w:after="0" w:line="240" w:lineRule="auto"/>
            </w:pPr>
          </w:p>
        </w:tc>
        <w:tc>
          <w:tcPr>
            <w:tcW w:w="3180" w:type="dxa"/>
            <w:tcMar>
              <w:top w:w="0" w:type="dxa"/>
              <w:bottom w:w="0" w:type="dxa"/>
            </w:tcMar>
            <w:vAlign w:val="center"/>
          </w:tcPr>
          <w:p w14:paraId="730F9ACC" w14:textId="77777777" w:rsidR="00355D0C"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38B26930" w14:textId="77777777" w:rsidR="00355D0C" w:rsidRDefault="00000000">
            <w:pPr>
              <w:keepNext/>
              <w:keepLines/>
              <w:spacing w:after="0" w:line="240" w:lineRule="auto"/>
            </w:pPr>
            <w:r>
              <w:rPr>
                <w:sz w:val="18"/>
              </w:rPr>
              <w:t>V001</w:t>
            </w:r>
          </w:p>
        </w:tc>
        <w:tc>
          <w:tcPr>
            <w:tcW w:w="1860" w:type="dxa"/>
            <w:tcMar>
              <w:top w:w="0" w:type="dxa"/>
              <w:bottom w:w="0" w:type="dxa"/>
            </w:tcMar>
            <w:vAlign w:val="center"/>
          </w:tcPr>
          <w:p w14:paraId="2F7A31A0" w14:textId="77777777" w:rsidR="00355D0C" w:rsidRDefault="00000000">
            <w:pPr>
              <w:keepNext/>
              <w:keepLines/>
              <w:spacing w:after="0" w:line="240" w:lineRule="auto"/>
              <w:jc w:val="right"/>
            </w:pPr>
            <w:r>
              <w:rPr>
                <w:sz w:val="18"/>
              </w:rPr>
              <w:t>676.204,36</w:t>
            </w:r>
          </w:p>
        </w:tc>
        <w:tc>
          <w:tcPr>
            <w:tcW w:w="700" w:type="dxa"/>
            <w:tcMar>
              <w:top w:w="0" w:type="dxa"/>
              <w:bottom w:w="0" w:type="dxa"/>
            </w:tcMar>
            <w:vAlign w:val="center"/>
          </w:tcPr>
          <w:p w14:paraId="7DCEA322" w14:textId="77777777" w:rsidR="00355D0C" w:rsidRDefault="00000000">
            <w:pPr>
              <w:keepNext/>
              <w:keepLines/>
              <w:spacing w:after="0" w:line="240" w:lineRule="auto"/>
              <w:jc w:val="right"/>
            </w:pPr>
            <w:r>
              <w:rPr>
                <w:sz w:val="18"/>
              </w:rPr>
              <w:t>-</w:t>
            </w:r>
          </w:p>
        </w:tc>
      </w:tr>
    </w:tbl>
    <w:p w14:paraId="132A48B7" w14:textId="77777777" w:rsidR="00355D0C" w:rsidRDefault="00355D0C">
      <w:pPr>
        <w:spacing w:after="0"/>
      </w:pPr>
    </w:p>
    <w:p w14:paraId="58344E40" w14:textId="77777777" w:rsidR="00355D0C" w:rsidRDefault="00000000">
      <w:r>
        <w:t>Stanje obveza na dan 1. siječnja 2025. godine iznosi 676.204,36 eura i istovjetno je stanju u Bilanci na dan 31.12.2024.</w:t>
      </w:r>
    </w:p>
    <w:p w14:paraId="69AAC8CF" w14:textId="77777777" w:rsidR="00355D0C" w:rsidRDefault="00355D0C"/>
    <w:p w14:paraId="57E6AC0D" w14:textId="77777777" w:rsidR="00355D0C"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55D0C" w14:paraId="314B24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635C6B"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DD4BB6"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AE72F6"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7D2C25" w14:textId="77777777" w:rsidR="00355D0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1136D0C" w14:textId="77777777" w:rsidR="00355D0C" w:rsidRDefault="00000000">
            <w:pPr>
              <w:keepNext/>
              <w:keepLines/>
              <w:spacing w:after="0" w:line="240" w:lineRule="auto"/>
              <w:jc w:val="center"/>
            </w:pPr>
            <w:r>
              <w:rPr>
                <w:b/>
                <w:sz w:val="18"/>
              </w:rPr>
              <w:t>Indeks (%)</w:t>
            </w:r>
          </w:p>
        </w:tc>
      </w:tr>
      <w:tr w:rsidR="00355D0C" w14:paraId="702C4D1B" w14:textId="77777777">
        <w:tblPrEx>
          <w:tblCellMar>
            <w:top w:w="0" w:type="dxa"/>
            <w:bottom w:w="0" w:type="dxa"/>
          </w:tblCellMar>
        </w:tblPrEx>
        <w:trPr>
          <w:cantSplit/>
          <w:trHeight w:val="560"/>
        </w:trPr>
        <w:tc>
          <w:tcPr>
            <w:tcW w:w="700" w:type="dxa"/>
            <w:tcMar>
              <w:top w:w="0" w:type="dxa"/>
              <w:bottom w:w="0" w:type="dxa"/>
            </w:tcMar>
            <w:vAlign w:val="center"/>
          </w:tcPr>
          <w:p w14:paraId="2AC5073E" w14:textId="77777777" w:rsidR="00355D0C" w:rsidRDefault="00355D0C">
            <w:pPr>
              <w:keepNext/>
              <w:keepLines/>
              <w:spacing w:after="0" w:line="240" w:lineRule="auto"/>
            </w:pPr>
          </w:p>
        </w:tc>
        <w:tc>
          <w:tcPr>
            <w:tcW w:w="3180" w:type="dxa"/>
            <w:tcMar>
              <w:top w:w="0" w:type="dxa"/>
              <w:bottom w:w="0" w:type="dxa"/>
            </w:tcMar>
            <w:vAlign w:val="center"/>
          </w:tcPr>
          <w:p w14:paraId="63B391D7" w14:textId="77777777" w:rsidR="00355D0C"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7AEEC768" w14:textId="77777777" w:rsidR="00355D0C" w:rsidRDefault="00000000">
            <w:pPr>
              <w:keepNext/>
              <w:keepLines/>
              <w:spacing w:after="0" w:line="240" w:lineRule="auto"/>
            </w:pPr>
            <w:r>
              <w:rPr>
                <w:sz w:val="18"/>
              </w:rPr>
              <w:t>V002</w:t>
            </w:r>
          </w:p>
        </w:tc>
        <w:tc>
          <w:tcPr>
            <w:tcW w:w="1860" w:type="dxa"/>
            <w:tcMar>
              <w:top w:w="0" w:type="dxa"/>
              <w:bottom w:w="0" w:type="dxa"/>
            </w:tcMar>
            <w:vAlign w:val="center"/>
          </w:tcPr>
          <w:p w14:paraId="3564ECF9" w14:textId="77777777" w:rsidR="00355D0C" w:rsidRDefault="00000000">
            <w:pPr>
              <w:keepNext/>
              <w:keepLines/>
              <w:spacing w:after="0" w:line="240" w:lineRule="auto"/>
              <w:jc w:val="right"/>
            </w:pPr>
            <w:r>
              <w:rPr>
                <w:sz w:val="18"/>
              </w:rPr>
              <w:t>110.137,67</w:t>
            </w:r>
          </w:p>
        </w:tc>
        <w:tc>
          <w:tcPr>
            <w:tcW w:w="700" w:type="dxa"/>
            <w:tcMar>
              <w:top w:w="0" w:type="dxa"/>
              <w:bottom w:w="0" w:type="dxa"/>
            </w:tcMar>
            <w:vAlign w:val="center"/>
          </w:tcPr>
          <w:p w14:paraId="7BE3E099" w14:textId="77777777" w:rsidR="00355D0C" w:rsidRDefault="00000000">
            <w:pPr>
              <w:keepNext/>
              <w:keepLines/>
              <w:spacing w:after="0" w:line="240" w:lineRule="auto"/>
              <w:jc w:val="right"/>
            </w:pPr>
            <w:r>
              <w:rPr>
                <w:sz w:val="18"/>
              </w:rPr>
              <w:t>-</w:t>
            </w:r>
          </w:p>
        </w:tc>
      </w:tr>
    </w:tbl>
    <w:p w14:paraId="6E970B01" w14:textId="77777777" w:rsidR="00355D0C" w:rsidRDefault="00355D0C">
      <w:pPr>
        <w:spacing w:after="0"/>
      </w:pPr>
    </w:p>
    <w:p w14:paraId="338E0B7E" w14:textId="77777777" w:rsidR="00355D0C" w:rsidRDefault="00000000">
      <w:r>
        <w:t>Povećanje obveza u izvještajnom razdoblju iznosi 110.110,11 eura, a odnosi se na obveze za rashode poslovanja 89.454,09 eura, od čega se 66.553,74 eura odnosi na obveze za zaposlene, obveze za materijalne rashode 17.315,62 eura koje uključuju putne troškove, stručno usavršavanje zaposlenika, rashode za materijal i energiju, uredski materijal i režijske troškove. Ostale tekuće obveze u iznosu od 5.584,73 eura odnose se na obveze za PDV te ostale nespomenute obveze od 126,81 eur.</w:t>
      </w:r>
    </w:p>
    <w:p w14:paraId="6B5BAA6D" w14:textId="77777777" w:rsidR="00355D0C" w:rsidRDefault="00355D0C"/>
    <w:p w14:paraId="36A606A4" w14:textId="77777777" w:rsidR="00355D0C"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55D0C" w14:paraId="1465F7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59A2EA"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CB9C9B"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43EFF4"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59310B" w14:textId="77777777" w:rsidR="00355D0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BB3ED2" w14:textId="77777777" w:rsidR="00355D0C" w:rsidRDefault="00000000">
            <w:pPr>
              <w:keepNext/>
              <w:keepLines/>
              <w:spacing w:after="0" w:line="240" w:lineRule="auto"/>
              <w:jc w:val="center"/>
            </w:pPr>
            <w:r>
              <w:rPr>
                <w:b/>
                <w:sz w:val="18"/>
              </w:rPr>
              <w:t>Indeks (%)</w:t>
            </w:r>
          </w:p>
        </w:tc>
      </w:tr>
      <w:tr w:rsidR="00355D0C" w14:paraId="34F6773F" w14:textId="77777777">
        <w:tblPrEx>
          <w:tblCellMar>
            <w:top w:w="0" w:type="dxa"/>
            <w:bottom w:w="0" w:type="dxa"/>
          </w:tblCellMar>
        </w:tblPrEx>
        <w:trPr>
          <w:cantSplit/>
          <w:trHeight w:val="560"/>
        </w:trPr>
        <w:tc>
          <w:tcPr>
            <w:tcW w:w="700" w:type="dxa"/>
            <w:tcMar>
              <w:top w:w="0" w:type="dxa"/>
              <w:bottom w:w="0" w:type="dxa"/>
            </w:tcMar>
            <w:vAlign w:val="center"/>
          </w:tcPr>
          <w:p w14:paraId="26D8856C" w14:textId="77777777" w:rsidR="00355D0C" w:rsidRDefault="00000000">
            <w:pPr>
              <w:keepNext/>
              <w:keepLines/>
              <w:spacing w:after="0" w:line="240" w:lineRule="auto"/>
            </w:pPr>
            <w:r>
              <w:rPr>
                <w:sz w:val="18"/>
              </w:rPr>
              <w:t>27</w:t>
            </w:r>
          </w:p>
        </w:tc>
        <w:tc>
          <w:tcPr>
            <w:tcW w:w="3180" w:type="dxa"/>
            <w:tcMar>
              <w:top w:w="0" w:type="dxa"/>
              <w:bottom w:w="0" w:type="dxa"/>
            </w:tcMar>
            <w:vAlign w:val="center"/>
          </w:tcPr>
          <w:p w14:paraId="5B8335BB" w14:textId="77777777" w:rsidR="00355D0C"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53B13B4C" w14:textId="77777777" w:rsidR="00355D0C" w:rsidRDefault="00000000">
            <w:pPr>
              <w:keepNext/>
              <w:keepLines/>
              <w:spacing w:after="0" w:line="240" w:lineRule="auto"/>
            </w:pPr>
            <w:r>
              <w:rPr>
                <w:sz w:val="18"/>
              </w:rPr>
              <w:t>N27</w:t>
            </w:r>
          </w:p>
        </w:tc>
        <w:tc>
          <w:tcPr>
            <w:tcW w:w="1860" w:type="dxa"/>
            <w:tcMar>
              <w:top w:w="0" w:type="dxa"/>
              <w:bottom w:w="0" w:type="dxa"/>
            </w:tcMar>
            <w:vAlign w:val="center"/>
          </w:tcPr>
          <w:p w14:paraId="513CAFD2" w14:textId="77777777" w:rsidR="00355D0C" w:rsidRDefault="00000000">
            <w:pPr>
              <w:keepNext/>
              <w:keepLines/>
              <w:spacing w:after="0" w:line="240" w:lineRule="auto"/>
              <w:jc w:val="right"/>
            </w:pPr>
            <w:r>
              <w:rPr>
                <w:sz w:val="18"/>
              </w:rPr>
              <w:t>20.683,58</w:t>
            </w:r>
          </w:p>
        </w:tc>
        <w:tc>
          <w:tcPr>
            <w:tcW w:w="700" w:type="dxa"/>
            <w:tcMar>
              <w:top w:w="0" w:type="dxa"/>
              <w:bottom w:w="0" w:type="dxa"/>
            </w:tcMar>
            <w:vAlign w:val="center"/>
          </w:tcPr>
          <w:p w14:paraId="2031E3A2" w14:textId="77777777" w:rsidR="00355D0C" w:rsidRDefault="00000000">
            <w:pPr>
              <w:keepNext/>
              <w:keepLines/>
              <w:spacing w:after="0" w:line="240" w:lineRule="auto"/>
              <w:jc w:val="right"/>
            </w:pPr>
            <w:r>
              <w:rPr>
                <w:sz w:val="18"/>
              </w:rPr>
              <w:t>-</w:t>
            </w:r>
          </w:p>
        </w:tc>
      </w:tr>
    </w:tbl>
    <w:p w14:paraId="6E498AF8" w14:textId="77777777" w:rsidR="00355D0C" w:rsidRDefault="00355D0C">
      <w:pPr>
        <w:spacing w:after="0"/>
      </w:pPr>
    </w:p>
    <w:p w14:paraId="16653931" w14:textId="77777777" w:rsidR="00355D0C" w:rsidRDefault="00000000">
      <w:r>
        <w:t>Na ovom kontu evidentirani su kvartalni povratu JLS-u i APN-u.</w:t>
      </w:r>
    </w:p>
    <w:p w14:paraId="444FD242" w14:textId="77777777" w:rsidR="00355D0C" w:rsidRDefault="00355D0C"/>
    <w:p w14:paraId="4542166D" w14:textId="77777777" w:rsidR="00355D0C"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55D0C" w14:paraId="7202F9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633562"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03A5A6"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F6C23A"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85D448" w14:textId="77777777" w:rsidR="00355D0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2DA441" w14:textId="77777777" w:rsidR="00355D0C" w:rsidRDefault="00000000">
            <w:pPr>
              <w:keepNext/>
              <w:keepLines/>
              <w:spacing w:after="0" w:line="240" w:lineRule="auto"/>
              <w:jc w:val="center"/>
            </w:pPr>
            <w:r>
              <w:rPr>
                <w:b/>
                <w:sz w:val="18"/>
              </w:rPr>
              <w:t>Indeks (%)</w:t>
            </w:r>
          </w:p>
        </w:tc>
      </w:tr>
      <w:tr w:rsidR="00355D0C" w14:paraId="24858EAA" w14:textId="77777777">
        <w:tblPrEx>
          <w:tblCellMar>
            <w:top w:w="0" w:type="dxa"/>
            <w:bottom w:w="0" w:type="dxa"/>
          </w:tblCellMar>
        </w:tblPrEx>
        <w:trPr>
          <w:cantSplit/>
          <w:trHeight w:val="560"/>
        </w:trPr>
        <w:tc>
          <w:tcPr>
            <w:tcW w:w="700" w:type="dxa"/>
            <w:tcMar>
              <w:top w:w="0" w:type="dxa"/>
              <w:bottom w:w="0" w:type="dxa"/>
            </w:tcMar>
            <w:vAlign w:val="center"/>
          </w:tcPr>
          <w:p w14:paraId="7735088E" w14:textId="77777777" w:rsidR="00355D0C" w:rsidRDefault="00355D0C">
            <w:pPr>
              <w:keepNext/>
              <w:keepLines/>
              <w:spacing w:after="0" w:line="240" w:lineRule="auto"/>
            </w:pPr>
          </w:p>
        </w:tc>
        <w:tc>
          <w:tcPr>
            <w:tcW w:w="3180" w:type="dxa"/>
            <w:tcMar>
              <w:top w:w="0" w:type="dxa"/>
              <w:bottom w:w="0" w:type="dxa"/>
            </w:tcMar>
            <w:vAlign w:val="center"/>
          </w:tcPr>
          <w:p w14:paraId="48961FE7" w14:textId="77777777" w:rsidR="00355D0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252C58C" w14:textId="77777777" w:rsidR="00355D0C" w:rsidRDefault="00000000">
            <w:pPr>
              <w:keepNext/>
              <w:keepLines/>
              <w:spacing w:after="0" w:line="240" w:lineRule="auto"/>
            </w:pPr>
            <w:r>
              <w:rPr>
                <w:sz w:val="18"/>
              </w:rPr>
              <w:t>V007</w:t>
            </w:r>
          </w:p>
        </w:tc>
        <w:tc>
          <w:tcPr>
            <w:tcW w:w="1860" w:type="dxa"/>
            <w:tcMar>
              <w:top w:w="0" w:type="dxa"/>
              <w:bottom w:w="0" w:type="dxa"/>
            </w:tcMar>
            <w:vAlign w:val="center"/>
          </w:tcPr>
          <w:p w14:paraId="7C716386" w14:textId="77777777" w:rsidR="00355D0C" w:rsidRDefault="00000000">
            <w:pPr>
              <w:keepNext/>
              <w:keepLines/>
              <w:spacing w:after="0" w:line="240" w:lineRule="auto"/>
              <w:jc w:val="right"/>
            </w:pPr>
            <w:r>
              <w:rPr>
                <w:sz w:val="18"/>
              </w:rPr>
              <w:t>0,00</w:t>
            </w:r>
          </w:p>
        </w:tc>
        <w:tc>
          <w:tcPr>
            <w:tcW w:w="700" w:type="dxa"/>
            <w:tcMar>
              <w:top w:w="0" w:type="dxa"/>
              <w:bottom w:w="0" w:type="dxa"/>
            </w:tcMar>
            <w:vAlign w:val="center"/>
          </w:tcPr>
          <w:p w14:paraId="2503F974" w14:textId="77777777" w:rsidR="00355D0C" w:rsidRDefault="00000000">
            <w:pPr>
              <w:keepNext/>
              <w:keepLines/>
              <w:spacing w:after="0" w:line="240" w:lineRule="auto"/>
              <w:jc w:val="right"/>
            </w:pPr>
            <w:r>
              <w:rPr>
                <w:sz w:val="18"/>
              </w:rPr>
              <w:t>-</w:t>
            </w:r>
          </w:p>
        </w:tc>
      </w:tr>
    </w:tbl>
    <w:p w14:paraId="32BEDA16" w14:textId="77777777" w:rsidR="00355D0C" w:rsidRDefault="00355D0C">
      <w:pPr>
        <w:spacing w:after="0"/>
      </w:pPr>
    </w:p>
    <w:p w14:paraId="5EC15F06" w14:textId="77777777" w:rsidR="00355D0C" w:rsidRDefault="00000000">
      <w:r>
        <w:t>Nije bilo dospjelih obveza.</w:t>
      </w:r>
    </w:p>
    <w:p w14:paraId="3B674BA3" w14:textId="77777777" w:rsidR="00355D0C" w:rsidRDefault="00355D0C"/>
    <w:p w14:paraId="04CD799F" w14:textId="77777777" w:rsidR="00355D0C"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55D0C" w14:paraId="1EA1F1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BF6E3A"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F47A05"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F9C838"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82BAE1" w14:textId="77777777" w:rsidR="00355D0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747F57F" w14:textId="77777777" w:rsidR="00355D0C" w:rsidRDefault="00000000">
            <w:pPr>
              <w:keepNext/>
              <w:keepLines/>
              <w:spacing w:after="0" w:line="240" w:lineRule="auto"/>
              <w:jc w:val="center"/>
            </w:pPr>
            <w:r>
              <w:rPr>
                <w:b/>
                <w:sz w:val="18"/>
              </w:rPr>
              <w:t>Indeks (%)</w:t>
            </w:r>
          </w:p>
        </w:tc>
      </w:tr>
      <w:tr w:rsidR="00355D0C" w14:paraId="38FE5ECC" w14:textId="77777777">
        <w:tblPrEx>
          <w:tblCellMar>
            <w:top w:w="0" w:type="dxa"/>
            <w:bottom w:w="0" w:type="dxa"/>
          </w:tblCellMar>
        </w:tblPrEx>
        <w:trPr>
          <w:cantSplit/>
          <w:trHeight w:val="560"/>
        </w:trPr>
        <w:tc>
          <w:tcPr>
            <w:tcW w:w="700" w:type="dxa"/>
            <w:tcMar>
              <w:top w:w="0" w:type="dxa"/>
              <w:bottom w:w="0" w:type="dxa"/>
            </w:tcMar>
            <w:vAlign w:val="center"/>
          </w:tcPr>
          <w:p w14:paraId="45B99994" w14:textId="77777777" w:rsidR="00355D0C" w:rsidRDefault="00355D0C">
            <w:pPr>
              <w:keepNext/>
              <w:keepLines/>
              <w:spacing w:after="0" w:line="240" w:lineRule="auto"/>
            </w:pPr>
          </w:p>
        </w:tc>
        <w:tc>
          <w:tcPr>
            <w:tcW w:w="3180" w:type="dxa"/>
            <w:tcMar>
              <w:top w:w="0" w:type="dxa"/>
              <w:bottom w:w="0" w:type="dxa"/>
            </w:tcMar>
            <w:vAlign w:val="center"/>
          </w:tcPr>
          <w:p w14:paraId="7C45AECF" w14:textId="77777777" w:rsidR="00355D0C"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850388F" w14:textId="77777777" w:rsidR="00355D0C" w:rsidRDefault="00000000">
            <w:pPr>
              <w:keepNext/>
              <w:keepLines/>
              <w:spacing w:after="0" w:line="240" w:lineRule="auto"/>
            </w:pPr>
            <w:r>
              <w:rPr>
                <w:sz w:val="18"/>
              </w:rPr>
              <w:t>V009</w:t>
            </w:r>
          </w:p>
        </w:tc>
        <w:tc>
          <w:tcPr>
            <w:tcW w:w="1860" w:type="dxa"/>
            <w:tcMar>
              <w:top w:w="0" w:type="dxa"/>
              <w:bottom w:w="0" w:type="dxa"/>
            </w:tcMar>
            <w:vAlign w:val="center"/>
          </w:tcPr>
          <w:p w14:paraId="58967514" w14:textId="77777777" w:rsidR="00355D0C" w:rsidRDefault="00000000">
            <w:pPr>
              <w:keepNext/>
              <w:keepLines/>
              <w:spacing w:after="0" w:line="240" w:lineRule="auto"/>
              <w:jc w:val="right"/>
            </w:pPr>
            <w:r>
              <w:rPr>
                <w:sz w:val="18"/>
              </w:rPr>
              <w:t>637.913,45</w:t>
            </w:r>
          </w:p>
        </w:tc>
        <w:tc>
          <w:tcPr>
            <w:tcW w:w="700" w:type="dxa"/>
            <w:tcMar>
              <w:top w:w="0" w:type="dxa"/>
              <w:bottom w:w="0" w:type="dxa"/>
            </w:tcMar>
            <w:vAlign w:val="center"/>
          </w:tcPr>
          <w:p w14:paraId="1F1663C6" w14:textId="77777777" w:rsidR="00355D0C" w:rsidRDefault="00000000">
            <w:pPr>
              <w:keepNext/>
              <w:keepLines/>
              <w:spacing w:after="0" w:line="240" w:lineRule="auto"/>
              <w:jc w:val="right"/>
            </w:pPr>
            <w:r>
              <w:rPr>
                <w:sz w:val="18"/>
              </w:rPr>
              <w:t>-</w:t>
            </w:r>
          </w:p>
        </w:tc>
      </w:tr>
    </w:tbl>
    <w:p w14:paraId="118796F9" w14:textId="77777777" w:rsidR="00355D0C" w:rsidRDefault="00355D0C">
      <w:pPr>
        <w:spacing w:after="0"/>
      </w:pPr>
    </w:p>
    <w:p w14:paraId="19B78049" w14:textId="77777777" w:rsidR="00355D0C" w:rsidRDefault="00000000">
      <w:r>
        <w:t xml:space="preserve">Na dan 31.prosinca 2025. godine Agencija je imala nepodmirenih obveza u iznosu od 637.913,45 eura. Obveze se odnose na rashode poslovanja u ukupnom iznosu od 8.313,43 eura, od čega su obveze za zaposlene za plaću u prosincu 2025. godine koja je isplaćena u siječnju 2026. godine. u iznosu od 5.422,71 eur, obveze za materijalne rashode u iznosu od 1.432,50, ostale tekuće obveze u iznosu od 1.458,22 eura te ostale dugoročne obveze u iznosu od 480.161,20 eura (obveza za nabavu građevinskih objekata za daljnju prodaju (zaliha) za </w:t>
      </w:r>
      <w:r>
        <w:lastRenderedPageBreak/>
        <w:t>zemljište koje je nabavljeno za potrebe izgradnje stanova od Grada Koprivnice i obveza za povrat APN-u, a koje dospijevaju s otplatom trećeg obroka za sve izgrađene zgrade).</w:t>
      </w:r>
    </w:p>
    <w:p w14:paraId="2FC14258" w14:textId="77777777" w:rsidR="00355D0C" w:rsidRDefault="00355D0C"/>
    <w:p w14:paraId="241AEAEF" w14:textId="77777777" w:rsidR="00355D0C"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55D0C" w14:paraId="753064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B398CF" w14:textId="77777777" w:rsidR="00355D0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FA09B3" w14:textId="77777777" w:rsidR="00355D0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530353" w14:textId="77777777" w:rsidR="00355D0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B36530" w14:textId="77777777" w:rsidR="00355D0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23DBAB4" w14:textId="77777777" w:rsidR="00355D0C" w:rsidRDefault="00000000">
            <w:pPr>
              <w:keepNext/>
              <w:keepLines/>
              <w:spacing w:after="0" w:line="240" w:lineRule="auto"/>
              <w:jc w:val="center"/>
            </w:pPr>
            <w:r>
              <w:rPr>
                <w:b/>
                <w:sz w:val="18"/>
              </w:rPr>
              <w:t>Indeks (%)</w:t>
            </w:r>
          </w:p>
        </w:tc>
      </w:tr>
      <w:tr w:rsidR="00355D0C" w14:paraId="505438B7" w14:textId="77777777">
        <w:tblPrEx>
          <w:tblCellMar>
            <w:top w:w="0" w:type="dxa"/>
            <w:bottom w:w="0" w:type="dxa"/>
          </w:tblCellMar>
        </w:tblPrEx>
        <w:trPr>
          <w:cantSplit/>
          <w:trHeight w:val="560"/>
        </w:trPr>
        <w:tc>
          <w:tcPr>
            <w:tcW w:w="700" w:type="dxa"/>
            <w:tcMar>
              <w:top w:w="0" w:type="dxa"/>
              <w:bottom w:w="0" w:type="dxa"/>
            </w:tcMar>
            <w:vAlign w:val="center"/>
          </w:tcPr>
          <w:p w14:paraId="5C801BEA" w14:textId="77777777" w:rsidR="00355D0C" w:rsidRDefault="00000000">
            <w:pPr>
              <w:keepNext/>
              <w:keepLines/>
              <w:spacing w:after="0" w:line="240" w:lineRule="auto"/>
            </w:pPr>
            <w:r>
              <w:rPr>
                <w:sz w:val="18"/>
              </w:rPr>
              <w:t>27</w:t>
            </w:r>
          </w:p>
        </w:tc>
        <w:tc>
          <w:tcPr>
            <w:tcW w:w="3180" w:type="dxa"/>
            <w:tcMar>
              <w:top w:w="0" w:type="dxa"/>
              <w:bottom w:w="0" w:type="dxa"/>
            </w:tcMar>
            <w:vAlign w:val="center"/>
          </w:tcPr>
          <w:p w14:paraId="39BBCCBB" w14:textId="77777777" w:rsidR="00355D0C"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74A9EAE9" w14:textId="77777777" w:rsidR="00355D0C" w:rsidRDefault="00000000">
            <w:pPr>
              <w:keepNext/>
              <w:keepLines/>
              <w:spacing w:after="0" w:line="240" w:lineRule="auto"/>
            </w:pPr>
            <w:r>
              <w:rPr>
                <w:sz w:val="18"/>
              </w:rPr>
              <w:t>ND27</w:t>
            </w:r>
          </w:p>
        </w:tc>
        <w:tc>
          <w:tcPr>
            <w:tcW w:w="1860" w:type="dxa"/>
            <w:tcMar>
              <w:top w:w="0" w:type="dxa"/>
              <w:bottom w:w="0" w:type="dxa"/>
            </w:tcMar>
            <w:vAlign w:val="center"/>
          </w:tcPr>
          <w:p w14:paraId="35A5E9B3" w14:textId="77777777" w:rsidR="00355D0C" w:rsidRDefault="00000000">
            <w:pPr>
              <w:keepNext/>
              <w:keepLines/>
              <w:spacing w:after="0" w:line="240" w:lineRule="auto"/>
              <w:jc w:val="right"/>
            </w:pPr>
            <w:r>
              <w:rPr>
                <w:sz w:val="18"/>
              </w:rPr>
              <w:t>149.438,82</w:t>
            </w:r>
          </w:p>
        </w:tc>
        <w:tc>
          <w:tcPr>
            <w:tcW w:w="700" w:type="dxa"/>
            <w:tcMar>
              <w:top w:w="0" w:type="dxa"/>
              <w:bottom w:w="0" w:type="dxa"/>
            </w:tcMar>
            <w:vAlign w:val="center"/>
          </w:tcPr>
          <w:p w14:paraId="39035803" w14:textId="77777777" w:rsidR="00355D0C" w:rsidRDefault="00000000">
            <w:pPr>
              <w:keepNext/>
              <w:keepLines/>
              <w:spacing w:after="0" w:line="240" w:lineRule="auto"/>
              <w:jc w:val="right"/>
            </w:pPr>
            <w:r>
              <w:rPr>
                <w:sz w:val="18"/>
              </w:rPr>
              <w:t>-</w:t>
            </w:r>
          </w:p>
        </w:tc>
      </w:tr>
    </w:tbl>
    <w:p w14:paraId="4A10A536" w14:textId="77777777" w:rsidR="00355D0C" w:rsidRDefault="00355D0C">
      <w:pPr>
        <w:spacing w:after="0"/>
      </w:pPr>
    </w:p>
    <w:p w14:paraId="7B9EF58F" w14:textId="77777777" w:rsidR="00355D0C" w:rsidRDefault="00000000">
      <w:r>
        <w:t>Na ovom kontu je iskazan saldo za obveze Agencije za povrat u proračun Grada Koprivnice te APN-u za doznačena sredstva Agenciji.</w:t>
      </w:r>
    </w:p>
    <w:p w14:paraId="1C3F7333" w14:textId="77777777" w:rsidR="00355D0C" w:rsidRDefault="00355D0C"/>
    <w:sectPr w:rsidR="00355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0C"/>
    <w:rsid w:val="001D44E6"/>
    <w:rsid w:val="00355D0C"/>
    <w:rsid w:val="00DE6C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7CAB"/>
  <w15:docId w15:val="{91A41B33-2D19-4D02-9A70-981D8CBF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3791</Words>
  <Characters>21611</Characters>
  <Application>Microsoft Office Word</Application>
  <DocSecurity>0</DocSecurity>
  <Lines>180</Lines>
  <Paragraphs>50</Paragraphs>
  <ScaleCrop>false</ScaleCrop>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APOS KC</cp:lastModifiedBy>
  <cp:revision>2</cp:revision>
  <dcterms:created xsi:type="dcterms:W3CDTF">2026-02-02T06:06:00Z</dcterms:created>
  <dcterms:modified xsi:type="dcterms:W3CDTF">2026-02-02T06:06:00Z</dcterms:modified>
</cp:coreProperties>
</file>